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6D6" w:rsidRDefault="007C7621" w:rsidP="00B626D6">
      <w:pPr>
        <w:pStyle w:val="Subhead1sl"/>
        <w:rPr>
          <w:b w:val="0"/>
          <w:sz w:val="16"/>
          <w:szCs w:val="16"/>
        </w:rPr>
      </w:pPr>
      <w:r w:rsidRPr="006466E0">
        <w:t xml:space="preserve">Elk Grove Unified </w:t>
      </w:r>
      <w:smartTag w:uri="urn:schemas-microsoft-com:office:smarttags" w:element="place">
        <w:r w:rsidRPr="006466E0">
          <w:t>School District</w:t>
        </w:r>
      </w:smartTag>
      <w:r w:rsidRPr="006466E0">
        <w:t xml:space="preserve"> v. </w:t>
      </w:r>
      <w:proofErr w:type="spellStart"/>
      <w:r w:rsidRPr="006466E0">
        <w:t>Newdow</w:t>
      </w:r>
      <w:proofErr w:type="spellEnd"/>
      <w:r w:rsidR="00EE7A9A">
        <w:br/>
      </w:r>
      <w:r w:rsidRPr="00EB467C">
        <w:rPr>
          <w:sz w:val="16"/>
          <w:szCs w:val="16"/>
        </w:rPr>
        <w:t>Argued:</w:t>
      </w:r>
      <w:r w:rsidR="00EC68C4" w:rsidRPr="00EB467C">
        <w:rPr>
          <w:sz w:val="16"/>
          <w:szCs w:val="16"/>
        </w:rPr>
        <w:t xml:space="preserve"> </w:t>
      </w:r>
      <w:r w:rsidR="00EC68C4" w:rsidRPr="00EB467C">
        <w:rPr>
          <w:b w:val="0"/>
          <w:sz w:val="16"/>
          <w:szCs w:val="16"/>
        </w:rPr>
        <w:t>March 24, 2004</w:t>
      </w:r>
      <w:r w:rsidR="00EE7A9A" w:rsidRPr="00EB467C">
        <w:rPr>
          <w:b w:val="0"/>
          <w:sz w:val="16"/>
          <w:szCs w:val="16"/>
        </w:rPr>
        <w:br/>
      </w:r>
      <w:r w:rsidRPr="00EB467C">
        <w:rPr>
          <w:sz w:val="16"/>
          <w:szCs w:val="16"/>
        </w:rPr>
        <w:t>Decided:</w:t>
      </w:r>
      <w:r w:rsidR="00EC68C4" w:rsidRPr="00EB467C">
        <w:rPr>
          <w:sz w:val="16"/>
          <w:szCs w:val="16"/>
        </w:rPr>
        <w:t xml:space="preserve"> </w:t>
      </w:r>
      <w:r w:rsidR="00EC68C4" w:rsidRPr="00EB467C">
        <w:rPr>
          <w:b w:val="0"/>
          <w:sz w:val="16"/>
          <w:szCs w:val="16"/>
        </w:rPr>
        <w:t>June 14, 2004</w:t>
      </w:r>
    </w:p>
    <w:p w:rsidR="007C7621" w:rsidRPr="00B626D6" w:rsidRDefault="00AD55EB" w:rsidP="00B626D6">
      <w:pPr>
        <w:pStyle w:val="Subhead1sl"/>
        <w:jc w:val="left"/>
        <w:rPr>
          <w:rFonts w:ascii="Garamond" w:hAnsi="Garamond"/>
          <w:b w:val="0"/>
          <w:i/>
          <w:sz w:val="20"/>
          <w:szCs w:val="20"/>
        </w:rPr>
      </w:pPr>
      <w:r>
        <w:rPr>
          <w:sz w:val="22"/>
          <w:szCs w:val="22"/>
          <w:highlight w:val="yellow"/>
        </w:rPr>
        <w:t xml:space="preserve">I. </w:t>
      </w:r>
      <w:r w:rsidR="003E3E8B" w:rsidRPr="003E3E8B">
        <w:rPr>
          <w:sz w:val="22"/>
          <w:szCs w:val="22"/>
          <w:highlight w:val="yellow"/>
        </w:rPr>
        <w:t>Directions: Read and Highlight</w:t>
      </w:r>
      <w:r w:rsidR="00B626D6">
        <w:rPr>
          <w:i/>
          <w:sz w:val="22"/>
          <w:szCs w:val="22"/>
          <w:highlight w:val="yellow"/>
        </w:rPr>
        <w:t xml:space="preserve"> or underline </w:t>
      </w:r>
      <w:r w:rsidR="003E3E8B" w:rsidRPr="003E3E8B">
        <w:rPr>
          <w:sz w:val="22"/>
          <w:szCs w:val="22"/>
          <w:highlight w:val="yellow"/>
        </w:rPr>
        <w:t xml:space="preserve">the Following </w:t>
      </w:r>
      <w:r w:rsidR="003E3E8B">
        <w:rPr>
          <w:sz w:val="22"/>
          <w:szCs w:val="22"/>
        </w:rPr>
        <w:br/>
      </w:r>
      <w:r w:rsidR="00B626D6" w:rsidRPr="00B626D6">
        <w:rPr>
          <w:i/>
          <w:sz w:val="12"/>
          <w:szCs w:val="12"/>
        </w:rPr>
        <w:br/>
      </w:r>
      <w:r w:rsidR="007C7621" w:rsidRPr="003E3E8B">
        <w:rPr>
          <w:sz w:val="22"/>
          <w:szCs w:val="22"/>
        </w:rPr>
        <w:t>Facts</w:t>
      </w:r>
      <w:r w:rsidR="00EB467C" w:rsidRPr="003E3E8B">
        <w:rPr>
          <w:sz w:val="22"/>
          <w:szCs w:val="22"/>
        </w:rPr>
        <w:t>:</w:t>
      </w:r>
      <w:r w:rsidR="00EB467C" w:rsidRPr="003E3E8B">
        <w:rPr>
          <w:b w:val="0"/>
          <w:sz w:val="22"/>
          <w:szCs w:val="22"/>
        </w:rPr>
        <w:t xml:space="preserve"> </w:t>
      </w:r>
      <w:r w:rsidR="003E3E8B">
        <w:rPr>
          <w:b w:val="0"/>
          <w:sz w:val="22"/>
          <w:szCs w:val="22"/>
        </w:rPr>
        <w:br/>
      </w:r>
      <w:r w:rsidR="003E3E8B" w:rsidRPr="00B626D6">
        <w:rPr>
          <w:b w:val="0"/>
          <w:sz w:val="4"/>
          <w:szCs w:val="4"/>
        </w:rPr>
        <w:br/>
      </w:r>
      <w:r w:rsidR="007C7621" w:rsidRPr="00B626D6">
        <w:rPr>
          <w:rFonts w:ascii="Garamond" w:hAnsi="Garamond"/>
          <w:b w:val="0"/>
          <w:sz w:val="20"/>
          <w:szCs w:val="20"/>
        </w:rPr>
        <w:t xml:space="preserve">Michael </w:t>
      </w:r>
      <w:proofErr w:type="spellStart"/>
      <w:r w:rsidR="007C7621" w:rsidRPr="00B626D6">
        <w:rPr>
          <w:rFonts w:ascii="Garamond" w:hAnsi="Garamond"/>
          <w:b w:val="0"/>
          <w:sz w:val="20"/>
          <w:szCs w:val="20"/>
        </w:rPr>
        <w:t>Newdow</w:t>
      </w:r>
      <w:proofErr w:type="spellEnd"/>
      <w:r w:rsidR="007C7621" w:rsidRPr="00B626D6">
        <w:rPr>
          <w:rFonts w:ascii="Garamond" w:hAnsi="Garamond"/>
          <w:b w:val="0"/>
          <w:sz w:val="20"/>
          <w:szCs w:val="20"/>
        </w:rPr>
        <w:t xml:space="preserve"> is an atheist and the father (though not a custodial parent) of a minor child who attends public elementary school. He objects to his daughter’s hearing and voluntarily reciting of the Pledge of Allegiance in school.  California law requires “appropriate patriotic exercises” to be conducted daily in all public elementary schools during the school year.  Reciting the Pledge is one way of satisfying this requirement, and it was the policy adopted by Elk Grove Unified School District.</w:t>
      </w:r>
    </w:p>
    <w:p w:rsidR="007C7621" w:rsidRPr="00B626D6" w:rsidRDefault="007C7621" w:rsidP="00EB467C">
      <w:pPr>
        <w:pStyle w:val="Basiccopysl"/>
        <w:rPr>
          <w:sz w:val="20"/>
          <w:szCs w:val="20"/>
        </w:rPr>
      </w:pPr>
      <w:r w:rsidRPr="00B626D6">
        <w:rPr>
          <w:sz w:val="20"/>
          <w:szCs w:val="20"/>
        </w:rPr>
        <w:t>Congress first codified the Pledge in 1942.  Twelve years later, at the height of the Cold War, Congress amended the text of the Pledge of Allegiance to include the words “under God.” According to the Congressional Record, Congress “intended the inclusion of God in our pledge … [to] further acknowledge the dependence of our people and our Government upon the moral directions of the Creator.” According to the House Report, including a reference to God in the Pledge would also “serve to deny the atheistic and materialistic concepts of communism.” Anticipating a potential Establishment Clause challenge, Congress noted the addition was not an “an act establishing a religion or one interfering with the ‘free exercise’ of religion.”</w:t>
      </w:r>
    </w:p>
    <w:p w:rsidR="007C7621" w:rsidRPr="00B626D6" w:rsidRDefault="007C7621" w:rsidP="00EB467C">
      <w:pPr>
        <w:pStyle w:val="Basiccopysl"/>
        <w:rPr>
          <w:sz w:val="20"/>
          <w:szCs w:val="20"/>
          <w:u w:val="single"/>
        </w:rPr>
      </w:pPr>
      <w:proofErr w:type="spellStart"/>
      <w:r w:rsidRPr="00B626D6">
        <w:rPr>
          <w:sz w:val="20"/>
          <w:szCs w:val="20"/>
        </w:rPr>
        <w:t>Newdow</w:t>
      </w:r>
      <w:proofErr w:type="spellEnd"/>
      <w:r w:rsidRPr="00B626D6">
        <w:rPr>
          <w:sz w:val="20"/>
          <w:szCs w:val="20"/>
        </w:rPr>
        <w:t xml:space="preserve"> does not claim that the school district or teacher requires his daughter to participate in reciting the Pledge.  Such required participation was prohibited by the Supreme Court in the 1943 case, </w:t>
      </w:r>
      <w:r w:rsidRPr="00B626D6">
        <w:rPr>
          <w:iCs/>
          <w:sz w:val="20"/>
          <w:szCs w:val="20"/>
        </w:rPr>
        <w:t>West Virginia v. Barnette</w:t>
      </w:r>
      <w:r w:rsidRPr="00B626D6">
        <w:rPr>
          <w:sz w:val="20"/>
          <w:szCs w:val="20"/>
        </w:rPr>
        <w:t>, decided even before “under God” was added.  Rather, he claims that his daughter has a legally recognizable injury (that he can bring on her behalf) when she is</w:t>
      </w:r>
      <w:r w:rsidRPr="00B626D6">
        <w:rPr>
          <w:color w:val="FF0000"/>
          <w:sz w:val="20"/>
          <w:szCs w:val="20"/>
        </w:rPr>
        <w:t xml:space="preserve"> </w:t>
      </w:r>
      <w:r w:rsidRPr="00B626D6">
        <w:rPr>
          <w:sz w:val="20"/>
          <w:szCs w:val="20"/>
        </w:rPr>
        <w:t xml:space="preserve">compelled to “watch and listen as her state-employed teacher in her state-run school leads her classmates in a recitation proclaiming that there is a God, and that ours is one nation under God.”  </w:t>
      </w:r>
      <w:proofErr w:type="spellStart"/>
      <w:r w:rsidRPr="00B626D6">
        <w:rPr>
          <w:sz w:val="20"/>
          <w:szCs w:val="20"/>
        </w:rPr>
        <w:t>Newdow</w:t>
      </w:r>
      <w:proofErr w:type="spellEnd"/>
      <w:r w:rsidRPr="00B626D6">
        <w:rPr>
          <w:sz w:val="20"/>
          <w:szCs w:val="20"/>
        </w:rPr>
        <w:t xml:space="preserve"> argues that the 1954 modification of the Pledge by Congress, as well as the state law and school rule requiring daily recitation, violate the First Amendment’s Establishment Clause.  He seeks declaratory and injunctive relief (i.e., a ruling that the Pledge of Allegiance is unconstitutional with the addition of the words “under God” and a court order prohibiting the school from requiring the daily recitation).</w:t>
      </w:r>
    </w:p>
    <w:p w:rsidR="007C7621" w:rsidRPr="003E3E8B" w:rsidRDefault="000B1329" w:rsidP="00EB467C">
      <w:pPr>
        <w:pStyle w:val="Subhead2sl"/>
        <w:rPr>
          <w:rFonts w:ascii="Garamond" w:hAnsi="Garamond"/>
          <w:b w:val="0"/>
          <w:i w:val="0"/>
          <w:sz w:val="22"/>
          <w:szCs w:val="22"/>
        </w:rPr>
      </w:pPr>
      <w:r w:rsidRPr="003E3E8B">
        <w:rPr>
          <w:i w:val="0"/>
          <w:sz w:val="22"/>
          <w:szCs w:val="22"/>
        </w:rPr>
        <w:t>Procedural History</w:t>
      </w:r>
      <w:r w:rsidR="00EB467C" w:rsidRPr="003E3E8B">
        <w:rPr>
          <w:i w:val="0"/>
          <w:sz w:val="22"/>
          <w:szCs w:val="22"/>
        </w:rPr>
        <w:t xml:space="preserve">: </w:t>
      </w:r>
      <w:r w:rsidR="003E3E8B">
        <w:rPr>
          <w:i w:val="0"/>
          <w:sz w:val="22"/>
          <w:szCs w:val="22"/>
        </w:rPr>
        <w:br/>
      </w:r>
      <w:r w:rsidR="003E3E8B" w:rsidRPr="00B626D6">
        <w:rPr>
          <w:i w:val="0"/>
          <w:sz w:val="4"/>
          <w:szCs w:val="4"/>
        </w:rPr>
        <w:br/>
      </w:r>
      <w:r w:rsidR="007C7621" w:rsidRPr="00B626D6">
        <w:rPr>
          <w:rFonts w:ascii="Garamond" w:hAnsi="Garamond"/>
          <w:b w:val="0"/>
          <w:i w:val="0"/>
          <w:sz w:val="20"/>
          <w:szCs w:val="20"/>
        </w:rPr>
        <w:t xml:space="preserve">A federal magistrate judge recommended that the U.S. District Court rule that the Pledge recitation did not violate the Establishment Clause.  U.S. District Court Judge Edward J. Schwartz in California accepted the recommendation and dismissed </w:t>
      </w:r>
      <w:proofErr w:type="spellStart"/>
      <w:r w:rsidR="007C7621" w:rsidRPr="00B626D6">
        <w:rPr>
          <w:rFonts w:ascii="Garamond" w:hAnsi="Garamond"/>
          <w:b w:val="0"/>
          <w:i w:val="0"/>
          <w:sz w:val="20"/>
          <w:szCs w:val="20"/>
        </w:rPr>
        <w:t>Newdow’s</w:t>
      </w:r>
      <w:proofErr w:type="spellEnd"/>
      <w:r w:rsidR="007C7621" w:rsidRPr="00B626D6">
        <w:rPr>
          <w:rFonts w:ascii="Garamond" w:hAnsi="Garamond"/>
          <w:b w:val="0"/>
          <w:i w:val="0"/>
          <w:sz w:val="20"/>
          <w:szCs w:val="20"/>
        </w:rPr>
        <w:t xml:space="preserve"> case.  </w:t>
      </w:r>
      <w:proofErr w:type="spellStart"/>
      <w:r w:rsidR="007C7621" w:rsidRPr="00B626D6">
        <w:rPr>
          <w:rFonts w:ascii="Garamond" w:hAnsi="Garamond"/>
          <w:b w:val="0"/>
          <w:i w:val="0"/>
          <w:sz w:val="20"/>
          <w:szCs w:val="20"/>
        </w:rPr>
        <w:t>Newdow</w:t>
      </w:r>
      <w:proofErr w:type="spellEnd"/>
      <w:r w:rsidR="007C7621" w:rsidRPr="00B626D6">
        <w:rPr>
          <w:rFonts w:ascii="Garamond" w:hAnsi="Garamond"/>
          <w:b w:val="0"/>
          <w:i w:val="0"/>
          <w:sz w:val="20"/>
          <w:szCs w:val="20"/>
        </w:rPr>
        <w:t xml:space="preserve"> appealed to the U.S. Court of Appeals for the Ninth Circuit, where a three-judge panel ruled in his favor, and initially declared that the Pledge itself was unconstitutional.  The Bush Administration and the school district requested that a larger panel of Ninth Circuit judges rehear the case.  On February 28, 2003, the Ninth Circuit denied the rehearing request and issued an opinion that affirmed its previous ban on teacher-led recitation of the Pledge in public schools. However, the Court amended its initial ruling, and omitted the portion that invalidated the Pledge itself.</w:t>
      </w:r>
    </w:p>
    <w:p w:rsidR="007C7621" w:rsidRPr="00B626D6" w:rsidRDefault="007C7621" w:rsidP="00EB467C">
      <w:pPr>
        <w:pStyle w:val="Basiccopysl"/>
        <w:rPr>
          <w:sz w:val="20"/>
          <w:szCs w:val="20"/>
        </w:rPr>
      </w:pPr>
      <w:r w:rsidRPr="00B626D6">
        <w:rPr>
          <w:sz w:val="20"/>
          <w:szCs w:val="20"/>
        </w:rPr>
        <w:t xml:space="preserve">After the Supreme Court granted a writ of certiorari to hear the case, Justice Scalia removed (recused) himself from participating in the case.  </w:t>
      </w:r>
      <w:proofErr w:type="spellStart"/>
      <w:r w:rsidRPr="00B626D6">
        <w:rPr>
          <w:sz w:val="20"/>
          <w:szCs w:val="20"/>
        </w:rPr>
        <w:t>Newdow</w:t>
      </w:r>
      <w:proofErr w:type="spellEnd"/>
      <w:r w:rsidRPr="00B626D6">
        <w:rPr>
          <w:sz w:val="20"/>
          <w:szCs w:val="20"/>
        </w:rPr>
        <w:t xml:space="preserve"> had filed papers with the Supreme Court asking Scalia to bow out, because the justice had spoken critically of the Ninth Circuit ruling at a Religious Freedom Day event in Fredericksburg, Virginia. The code of conduct for federal judges states that a judge should avoid public comment on the merits of a pending case.</w:t>
      </w:r>
    </w:p>
    <w:p w:rsidR="007C7621" w:rsidRPr="00B626D6" w:rsidRDefault="007C7621" w:rsidP="00EB467C">
      <w:pPr>
        <w:pStyle w:val="Basiccopysl"/>
        <w:rPr>
          <w:sz w:val="20"/>
          <w:szCs w:val="20"/>
        </w:rPr>
      </w:pPr>
      <w:r w:rsidRPr="00B626D6">
        <w:rPr>
          <w:sz w:val="20"/>
          <w:szCs w:val="20"/>
        </w:rPr>
        <w:t xml:space="preserve">In the event of a tie on the Court (a 4-4 decision), the lower court ruling would stand as a precedent only in the nine states that comprise the Ninth Circuit and the Supreme Court’s decision would not create a national precedent. </w:t>
      </w:r>
    </w:p>
    <w:p w:rsidR="007C7621" w:rsidRPr="003E3E8B" w:rsidRDefault="00B626D6" w:rsidP="00EB467C">
      <w:pPr>
        <w:pStyle w:val="Subhead2sl"/>
        <w:rPr>
          <w:b w:val="0"/>
          <w:sz w:val="22"/>
          <w:szCs w:val="22"/>
        </w:rPr>
      </w:pPr>
      <w:r>
        <w:rPr>
          <w:i w:val="0"/>
          <w:sz w:val="22"/>
          <w:szCs w:val="22"/>
        </w:rPr>
        <w:t>Question</w:t>
      </w:r>
      <w:r w:rsidR="00EB467C" w:rsidRPr="003E3E8B">
        <w:rPr>
          <w:i w:val="0"/>
          <w:sz w:val="22"/>
          <w:szCs w:val="22"/>
        </w:rPr>
        <w:t>:</w:t>
      </w:r>
      <w:r w:rsidR="00EB467C" w:rsidRPr="003E3E8B">
        <w:rPr>
          <w:b w:val="0"/>
          <w:sz w:val="22"/>
          <w:szCs w:val="22"/>
        </w:rPr>
        <w:t xml:space="preserve"> </w:t>
      </w:r>
      <w:r w:rsidR="003E3E8B">
        <w:rPr>
          <w:b w:val="0"/>
          <w:sz w:val="22"/>
          <w:szCs w:val="22"/>
        </w:rPr>
        <w:br/>
      </w:r>
      <w:r w:rsidR="003E3E8B" w:rsidRPr="00B626D6">
        <w:rPr>
          <w:b w:val="0"/>
          <w:sz w:val="4"/>
          <w:szCs w:val="4"/>
        </w:rPr>
        <w:br/>
      </w:r>
      <w:r w:rsidR="007C7621" w:rsidRPr="00B626D6">
        <w:rPr>
          <w:rFonts w:ascii="Garamond" w:hAnsi="Garamond"/>
          <w:b w:val="0"/>
          <w:i w:val="0"/>
          <w:sz w:val="20"/>
          <w:szCs w:val="20"/>
        </w:rPr>
        <w:t>Does a school district policy that requires public school teachers to lead willing students in reciting the Pledge of Allegiance with the words “under God” violate the Establishment Clause of the First Amendment?</w:t>
      </w:r>
      <w:r>
        <w:rPr>
          <w:rFonts w:ascii="Garamond" w:hAnsi="Garamond"/>
          <w:b w:val="0"/>
          <w:i w:val="0"/>
          <w:sz w:val="22"/>
          <w:szCs w:val="22"/>
        </w:rPr>
        <w:br/>
      </w:r>
      <w:r>
        <w:rPr>
          <w:rFonts w:ascii="Garamond" w:hAnsi="Garamond"/>
          <w:b w:val="0"/>
          <w:i w:val="0"/>
          <w:sz w:val="22"/>
          <w:szCs w:val="22"/>
        </w:rPr>
        <w:br/>
      </w:r>
      <w:r w:rsidRPr="00B626D6">
        <w:rPr>
          <w:rFonts w:ascii="Garamond" w:eastAsia="MS Mincho" w:hAnsi="Garamond"/>
          <w:i w:val="0"/>
        </w:rPr>
        <w:t xml:space="preserve">II. </w:t>
      </w:r>
      <w:r>
        <w:rPr>
          <w:rFonts w:ascii="Garamond" w:eastAsia="MS Mincho" w:hAnsi="Garamond"/>
          <w:i w:val="0"/>
        </w:rPr>
        <w:t>My response to the above right now includes (respond in 3-5 Sentences referencing the facts of the case)</w:t>
      </w:r>
      <w:r w:rsidRPr="00B626D6">
        <w:rPr>
          <w:rFonts w:ascii="Garamond" w:eastAsia="MS Mincho" w:hAnsi="Garamond"/>
          <w:i w:val="0"/>
        </w:rPr>
        <w:t>...</w:t>
      </w:r>
      <w:r w:rsidRPr="00C11D2E">
        <w:rPr>
          <w:rFonts w:ascii="Garamond" w:eastAsia="MS Mincho" w:hAnsi="Garamond"/>
        </w:rPr>
        <w:t xml:space="preserve"> </w:t>
      </w:r>
      <w:r w:rsidRPr="00B626D6">
        <w:rPr>
          <w:rFonts w:ascii="Garamond" w:eastAsia="MS Mincho" w:hAnsi="Garamond"/>
          <w:b w:val="0"/>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26D6">
        <w:rPr>
          <w:rFonts w:ascii="Garamond" w:eastAsia="MS Mincho" w:hAnsi="Garamond"/>
          <w:b w:val="0"/>
          <w:i w:val="0"/>
        </w:rPr>
        <w:t>_________</w:t>
      </w:r>
      <w:r w:rsidRPr="00B626D6">
        <w:rPr>
          <w:rFonts w:ascii="Garamond" w:eastAsia="MS Mincho" w:hAnsi="Garamond"/>
          <w:b w:val="0"/>
          <w:i w:val="0"/>
        </w:rPr>
        <w:t>_</w:t>
      </w:r>
      <w:r>
        <w:rPr>
          <w:rFonts w:ascii="Garamond" w:eastAsia="MS Mincho" w:hAnsi="Garamond"/>
          <w:b w:val="0"/>
          <w:i w:val="0"/>
        </w:rPr>
        <w:t>____________________________________________________________________________________________</w:t>
      </w:r>
      <w:r w:rsidRPr="00B626D6">
        <w:rPr>
          <w:rFonts w:ascii="Garamond" w:eastAsia="MS Mincho" w:hAnsi="Garamond"/>
          <w:b w:val="0"/>
          <w:i w:val="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MS Mincho" w:hAnsi="Garamond"/>
          <w:b w:val="0"/>
          <w:i w:val="0"/>
        </w:rPr>
        <w:t>_____</w:t>
      </w:r>
      <w:r w:rsidR="004357B9">
        <w:rPr>
          <w:rFonts w:ascii="Garamond" w:eastAsia="MS Mincho" w:hAnsi="Garamond"/>
          <w:b w:val="0"/>
          <w:i w:val="0"/>
        </w:rPr>
        <w:t>__________________________________________________________________________________________________________________________________________________________________________________________</w:t>
      </w:r>
      <w:r>
        <w:rPr>
          <w:rFonts w:ascii="Garamond" w:eastAsia="MS Mincho" w:hAnsi="Garamond"/>
          <w:b w:val="0"/>
          <w:i w:val="0"/>
        </w:rPr>
        <w:t>_</w:t>
      </w:r>
    </w:p>
    <w:p w:rsidR="00EB467C" w:rsidRPr="00EE7A9A" w:rsidRDefault="00EB467C" w:rsidP="00EB467C">
      <w:pPr>
        <w:pStyle w:val="Basiccopysl"/>
        <w:rPr>
          <w:i/>
          <w:sz w:val="16"/>
          <w:szCs w:val="16"/>
        </w:rPr>
      </w:pPr>
      <w:r w:rsidRPr="00EE7A9A">
        <w:rPr>
          <w:i/>
          <w:sz w:val="16"/>
          <w:szCs w:val="16"/>
        </w:rPr>
        <w:t xml:space="preserve">Note: The case also raises a procedural question of </w:t>
      </w:r>
      <w:proofErr w:type="spellStart"/>
      <w:r w:rsidRPr="00EE7A9A">
        <w:rPr>
          <w:i/>
          <w:sz w:val="16"/>
          <w:szCs w:val="16"/>
        </w:rPr>
        <w:t>Newdow’s</w:t>
      </w:r>
      <w:proofErr w:type="spellEnd"/>
      <w:r w:rsidRPr="00EE7A9A">
        <w:rPr>
          <w:i/>
          <w:sz w:val="16"/>
          <w:szCs w:val="16"/>
        </w:rPr>
        <w:t xml:space="preserve"> standing, that is, whether he has a legal stake in the case, given the fact that he was never married to his daughter’s mother and does not have custody of the child.  The Supreme Court’s oral argument focused more on the merits of the question regarding the Establishment Clause of the First Amendment.  For the purposes of our moot court exercise, we will focus on the substantive constitutional religion question, rather than the “standing” issue.  We will simply assume that Mr. </w:t>
      </w:r>
      <w:proofErr w:type="spellStart"/>
      <w:r w:rsidRPr="00EE7A9A">
        <w:rPr>
          <w:i/>
          <w:sz w:val="16"/>
          <w:szCs w:val="16"/>
        </w:rPr>
        <w:t>Newdow</w:t>
      </w:r>
      <w:proofErr w:type="spellEnd"/>
      <w:r w:rsidRPr="00EE7A9A">
        <w:rPr>
          <w:i/>
          <w:sz w:val="16"/>
          <w:szCs w:val="16"/>
        </w:rPr>
        <w:t xml:space="preserve"> has standing.</w:t>
      </w:r>
    </w:p>
    <w:p w:rsidR="007C7621" w:rsidRPr="003D0B51" w:rsidRDefault="000B1329" w:rsidP="00935C43">
      <w:pPr>
        <w:pStyle w:val="Subhead2sl"/>
        <w:tabs>
          <w:tab w:val="left" w:pos="9015"/>
        </w:tabs>
      </w:pPr>
      <w:r w:rsidRPr="003D0B51">
        <w:lastRenderedPageBreak/>
        <w:t>Constitutional Provision</w:t>
      </w:r>
      <w:r w:rsidR="00251481" w:rsidRPr="003D0B51">
        <w:t>:</w:t>
      </w:r>
    </w:p>
    <w:p w:rsidR="007C7621" w:rsidRPr="003E3E8B" w:rsidRDefault="007C7621" w:rsidP="00B626D6">
      <w:pPr>
        <w:pStyle w:val="Bulletsl"/>
        <w:numPr>
          <w:ilvl w:val="0"/>
          <w:numId w:val="0"/>
        </w:numPr>
        <w:ind w:left="90"/>
        <w:jc w:val="center"/>
        <w:rPr>
          <w:sz w:val="22"/>
          <w:szCs w:val="22"/>
        </w:rPr>
      </w:pPr>
      <w:r w:rsidRPr="003E3E8B">
        <w:rPr>
          <w:b/>
          <w:sz w:val="22"/>
          <w:szCs w:val="22"/>
        </w:rPr>
        <w:t>The Establishment Clause</w:t>
      </w:r>
      <w:r w:rsidR="000B1329" w:rsidRPr="003E3E8B">
        <w:rPr>
          <w:b/>
          <w:sz w:val="22"/>
          <w:szCs w:val="22"/>
        </w:rPr>
        <w:t xml:space="preserve"> of the First Amendment</w:t>
      </w:r>
      <w:r w:rsidR="00251481" w:rsidRPr="003E3E8B">
        <w:rPr>
          <w:b/>
          <w:sz w:val="22"/>
          <w:szCs w:val="22"/>
        </w:rPr>
        <w:t xml:space="preserve">: </w:t>
      </w:r>
      <w:r w:rsidRPr="003E3E8B">
        <w:rPr>
          <w:sz w:val="22"/>
          <w:szCs w:val="22"/>
        </w:rPr>
        <w:t xml:space="preserve">“Congress shall make no law respecting the establishment of religion.” </w:t>
      </w:r>
      <w:r w:rsidR="00251481" w:rsidRPr="003E3E8B">
        <w:rPr>
          <w:sz w:val="22"/>
          <w:szCs w:val="22"/>
        </w:rPr>
        <w:br/>
      </w:r>
      <w:r w:rsidR="00251481" w:rsidRPr="00B626D6">
        <w:rPr>
          <w:sz w:val="8"/>
          <w:szCs w:val="8"/>
        </w:rPr>
        <w:br/>
      </w:r>
      <w:r w:rsidRPr="00B626D6">
        <w:rPr>
          <w:sz w:val="16"/>
          <w:szCs w:val="16"/>
          <w:highlight w:val="green"/>
        </w:rPr>
        <w:t>These words have been interpreted as limiting governmental action of two types:</w:t>
      </w:r>
      <w:r w:rsidR="000B1329" w:rsidRPr="00B626D6">
        <w:rPr>
          <w:sz w:val="16"/>
          <w:szCs w:val="16"/>
          <w:highlight w:val="green"/>
        </w:rPr>
        <w:t xml:space="preserve"> a</w:t>
      </w:r>
      <w:r w:rsidRPr="00B626D6">
        <w:rPr>
          <w:sz w:val="16"/>
          <w:szCs w:val="16"/>
          <w:highlight w:val="green"/>
        </w:rPr>
        <w:t>ction that discriminates among religions, and</w:t>
      </w:r>
      <w:r w:rsidR="000B1329" w:rsidRPr="00B626D6">
        <w:rPr>
          <w:sz w:val="16"/>
          <w:szCs w:val="16"/>
          <w:highlight w:val="green"/>
        </w:rPr>
        <w:t xml:space="preserve"> a</w:t>
      </w:r>
      <w:r w:rsidRPr="00B626D6">
        <w:rPr>
          <w:sz w:val="16"/>
          <w:szCs w:val="16"/>
          <w:highlight w:val="green"/>
        </w:rPr>
        <w:t>ction that promotes religion in general.</w:t>
      </w:r>
      <w:r w:rsidR="00EB467C" w:rsidRPr="003E3E8B">
        <w:rPr>
          <w:sz w:val="22"/>
          <w:szCs w:val="22"/>
        </w:rPr>
        <w:br/>
      </w:r>
    </w:p>
    <w:p w:rsidR="00EB467C" w:rsidRPr="003D0B51" w:rsidRDefault="00EB467C" w:rsidP="00251481">
      <w:pPr>
        <w:pStyle w:val="Bulletsl"/>
        <w:numPr>
          <w:ilvl w:val="0"/>
          <w:numId w:val="0"/>
        </w:numPr>
        <w:rPr>
          <w:rFonts w:ascii="Gill Sans MT" w:hAnsi="Gill Sans MT"/>
          <w:b/>
        </w:rPr>
      </w:pPr>
      <w:r w:rsidRPr="003D0B51">
        <w:rPr>
          <w:rFonts w:ascii="Gill Sans MT" w:hAnsi="Gill Sans MT"/>
          <w:b/>
        </w:rPr>
        <w:t>Precedents</w:t>
      </w:r>
    </w:p>
    <w:p w:rsidR="000B1329" w:rsidRPr="003E3E8B" w:rsidRDefault="007C7621" w:rsidP="007A3CBB">
      <w:pPr>
        <w:pStyle w:val="Bulletsl"/>
        <w:rPr>
          <w:sz w:val="22"/>
          <w:szCs w:val="22"/>
        </w:rPr>
      </w:pPr>
      <w:r w:rsidRPr="003E3E8B">
        <w:rPr>
          <w:b/>
          <w:sz w:val="22"/>
          <w:szCs w:val="22"/>
        </w:rPr>
        <w:t>West Virginia v. Barnette (1943)</w:t>
      </w:r>
    </w:p>
    <w:p w:rsidR="001B58D1" w:rsidRDefault="007C7621" w:rsidP="007A3CBB">
      <w:pPr>
        <w:pStyle w:val="Bulletsl"/>
        <w:numPr>
          <w:ilvl w:val="0"/>
          <w:numId w:val="0"/>
        </w:numPr>
        <w:ind w:left="720"/>
        <w:rPr>
          <w:sz w:val="22"/>
          <w:szCs w:val="22"/>
        </w:rPr>
      </w:pPr>
      <w:r w:rsidRPr="003E3E8B">
        <w:rPr>
          <w:sz w:val="22"/>
          <w:szCs w:val="22"/>
        </w:rPr>
        <w:t xml:space="preserve">Even before the words “under God” were added to the Pledge, the Court held that no child may be </w:t>
      </w:r>
      <w:r w:rsidRPr="003E3E8B">
        <w:rPr>
          <w:i/>
          <w:sz w:val="22"/>
          <w:szCs w:val="22"/>
        </w:rPr>
        <w:t>required</w:t>
      </w:r>
      <w:r w:rsidRPr="003E3E8B">
        <w:rPr>
          <w:sz w:val="22"/>
          <w:szCs w:val="22"/>
        </w:rPr>
        <w:t xml:space="preserve"> to recite the Pledge in a public school.</w:t>
      </w:r>
    </w:p>
    <w:p w:rsidR="007171C4" w:rsidRPr="001F5412" w:rsidRDefault="007171C4" w:rsidP="007A3CBB">
      <w:pPr>
        <w:pStyle w:val="Bulletsl"/>
        <w:numPr>
          <w:ilvl w:val="0"/>
          <w:numId w:val="0"/>
        </w:numPr>
        <w:ind w:left="720"/>
        <w:rPr>
          <w:sz w:val="4"/>
          <w:szCs w:val="4"/>
        </w:rPr>
      </w:pPr>
    </w:p>
    <w:p w:rsidR="000B1329" w:rsidRPr="003E3E8B" w:rsidRDefault="007C7621" w:rsidP="007A3CBB">
      <w:pPr>
        <w:pStyle w:val="Bulletsl"/>
        <w:rPr>
          <w:b/>
          <w:sz w:val="22"/>
          <w:szCs w:val="22"/>
        </w:rPr>
      </w:pPr>
      <w:r w:rsidRPr="003E3E8B">
        <w:rPr>
          <w:b/>
          <w:sz w:val="22"/>
          <w:szCs w:val="22"/>
        </w:rPr>
        <w:t>Stone v. Graham</w:t>
      </w:r>
      <w:r w:rsidR="000B1329" w:rsidRPr="003E3E8B">
        <w:rPr>
          <w:b/>
          <w:sz w:val="22"/>
          <w:szCs w:val="22"/>
        </w:rPr>
        <w:t xml:space="preserve"> (1980)</w:t>
      </w:r>
    </w:p>
    <w:p w:rsidR="007C7621" w:rsidRDefault="007C7621" w:rsidP="007A3CBB">
      <w:pPr>
        <w:pStyle w:val="Bulletsl"/>
        <w:numPr>
          <w:ilvl w:val="0"/>
          <w:numId w:val="0"/>
        </w:numPr>
        <w:ind w:left="720"/>
        <w:rPr>
          <w:sz w:val="22"/>
          <w:szCs w:val="22"/>
        </w:rPr>
      </w:pPr>
      <w:r w:rsidRPr="003E3E8B">
        <w:rPr>
          <w:sz w:val="22"/>
          <w:szCs w:val="22"/>
        </w:rPr>
        <w:t>The Supreme Court dismissed a state legislature’s claimed secular purpose for requiring schools to post a copy of the Ten Commandments and he</w:t>
      </w:r>
      <w:r w:rsidR="000B1329" w:rsidRPr="003E3E8B">
        <w:rPr>
          <w:sz w:val="22"/>
          <w:szCs w:val="22"/>
        </w:rPr>
        <w:t>ld the policy unconstitutional.</w:t>
      </w:r>
    </w:p>
    <w:p w:rsidR="001F5412" w:rsidRPr="001F5412" w:rsidRDefault="001F5412" w:rsidP="007A3CBB">
      <w:pPr>
        <w:pStyle w:val="Bulletsl"/>
        <w:numPr>
          <w:ilvl w:val="0"/>
          <w:numId w:val="0"/>
        </w:numPr>
        <w:ind w:left="720"/>
        <w:rPr>
          <w:sz w:val="4"/>
          <w:szCs w:val="4"/>
        </w:rPr>
      </w:pPr>
    </w:p>
    <w:p w:rsidR="000B1329" w:rsidRPr="003E3E8B" w:rsidRDefault="007C7621" w:rsidP="007A3CBB">
      <w:pPr>
        <w:pStyle w:val="Bulletsl"/>
        <w:rPr>
          <w:b/>
          <w:sz w:val="22"/>
          <w:szCs w:val="22"/>
        </w:rPr>
      </w:pPr>
      <w:r w:rsidRPr="003E3E8B">
        <w:rPr>
          <w:b/>
          <w:sz w:val="22"/>
          <w:szCs w:val="22"/>
        </w:rPr>
        <w:t xml:space="preserve">Wallace v. </w:t>
      </w:r>
      <w:proofErr w:type="spellStart"/>
      <w:r w:rsidRPr="003E3E8B">
        <w:rPr>
          <w:b/>
          <w:sz w:val="22"/>
          <w:szCs w:val="22"/>
        </w:rPr>
        <w:t>Jaffree</w:t>
      </w:r>
      <w:proofErr w:type="spellEnd"/>
      <w:r w:rsidRPr="003E3E8B">
        <w:rPr>
          <w:b/>
          <w:sz w:val="22"/>
          <w:szCs w:val="22"/>
        </w:rPr>
        <w:t xml:space="preserve"> </w:t>
      </w:r>
      <w:r w:rsidR="000B1329" w:rsidRPr="003E3E8B">
        <w:rPr>
          <w:b/>
          <w:sz w:val="22"/>
          <w:szCs w:val="22"/>
        </w:rPr>
        <w:t>(1985)</w:t>
      </w:r>
    </w:p>
    <w:p w:rsidR="007C7621" w:rsidRDefault="007C7621" w:rsidP="007A3CBB">
      <w:pPr>
        <w:pStyle w:val="Bulletsl"/>
        <w:numPr>
          <w:ilvl w:val="0"/>
          <w:numId w:val="0"/>
        </w:numPr>
        <w:ind w:left="720"/>
        <w:rPr>
          <w:sz w:val="22"/>
          <w:szCs w:val="22"/>
        </w:rPr>
      </w:pPr>
      <w:r w:rsidRPr="003E3E8B">
        <w:rPr>
          <w:sz w:val="22"/>
          <w:szCs w:val="22"/>
        </w:rPr>
        <w:t>The state legislature amended the requirement of a generic moment of silence to one that required a moment of silence “for prayer or meditation.”  The Court struck down the policy because the purpose in amending the law was religious.  No other reason could be offered for the amendment than to</w:t>
      </w:r>
      <w:r w:rsidR="000B1329" w:rsidRPr="003E3E8B">
        <w:rPr>
          <w:sz w:val="22"/>
          <w:szCs w:val="22"/>
        </w:rPr>
        <w:t xml:space="preserve"> reinforce the need for prayer.</w:t>
      </w:r>
    </w:p>
    <w:p w:rsidR="001F5412" w:rsidRPr="001F5412" w:rsidRDefault="001F5412" w:rsidP="007A3CBB">
      <w:pPr>
        <w:pStyle w:val="Bulletsl"/>
        <w:numPr>
          <w:ilvl w:val="0"/>
          <w:numId w:val="0"/>
        </w:numPr>
        <w:ind w:left="720"/>
        <w:rPr>
          <w:sz w:val="4"/>
          <w:szCs w:val="4"/>
        </w:rPr>
      </w:pPr>
    </w:p>
    <w:p w:rsidR="001B58D1" w:rsidRPr="001B58D1" w:rsidRDefault="001B58D1" w:rsidP="001B58D1">
      <w:pPr>
        <w:pStyle w:val="Bulletsl"/>
        <w:spacing w:after="200" w:line="276" w:lineRule="auto"/>
        <w:rPr>
          <w:b/>
          <w:i/>
          <w:sz w:val="22"/>
          <w:szCs w:val="22"/>
        </w:rPr>
      </w:pPr>
      <w:r w:rsidRPr="00BE29C6">
        <w:rPr>
          <w:b/>
          <w:i/>
          <w:sz w:val="22"/>
          <w:szCs w:val="22"/>
        </w:rPr>
        <w:t>Lee v. Weisman (1991)</w:t>
      </w:r>
      <w:r w:rsidRPr="00BE29C6">
        <w:rPr>
          <w:b/>
          <w:i/>
          <w:sz w:val="22"/>
          <w:szCs w:val="22"/>
        </w:rPr>
        <w:br/>
      </w:r>
      <w:r>
        <w:rPr>
          <w:sz w:val="6"/>
          <w:szCs w:val="6"/>
        </w:rPr>
        <w:br/>
      </w:r>
      <w:r>
        <w:rPr>
          <w:sz w:val="22"/>
          <w:szCs w:val="22"/>
        </w:rPr>
        <w:t xml:space="preserve">The Court held that including a prayer at graduation created a subtle and indirect coercion, forcing students to act in ways which establish a state religion and violate the conscience of the students in attendance.  </w:t>
      </w:r>
    </w:p>
    <w:p w:rsidR="001B58D1" w:rsidRPr="001B58D1" w:rsidRDefault="001B58D1" w:rsidP="001B58D1">
      <w:pPr>
        <w:pStyle w:val="Bulletsl"/>
        <w:numPr>
          <w:ilvl w:val="0"/>
          <w:numId w:val="0"/>
        </w:numPr>
        <w:spacing w:after="200" w:line="276" w:lineRule="auto"/>
        <w:ind w:left="720"/>
        <w:rPr>
          <w:b/>
          <w:i/>
          <w:sz w:val="4"/>
          <w:szCs w:val="4"/>
        </w:rPr>
      </w:pPr>
    </w:p>
    <w:p w:rsidR="000B1329" w:rsidRPr="003E3E8B" w:rsidRDefault="007C7621" w:rsidP="007A3CBB">
      <w:pPr>
        <w:pStyle w:val="Bulletsl"/>
        <w:rPr>
          <w:b/>
          <w:sz w:val="22"/>
          <w:szCs w:val="22"/>
        </w:rPr>
      </w:pPr>
      <w:r w:rsidRPr="003E3E8B">
        <w:rPr>
          <w:b/>
          <w:sz w:val="22"/>
          <w:szCs w:val="22"/>
        </w:rPr>
        <w:t>Santa Fe Independent School District v. Doe</w:t>
      </w:r>
      <w:r w:rsidR="000B1329" w:rsidRPr="003E3E8B">
        <w:rPr>
          <w:b/>
          <w:sz w:val="22"/>
          <w:szCs w:val="22"/>
        </w:rPr>
        <w:t xml:space="preserve"> (2000)</w:t>
      </w:r>
    </w:p>
    <w:p w:rsidR="001B58D1" w:rsidRDefault="007C7621" w:rsidP="007A3CBB">
      <w:pPr>
        <w:pStyle w:val="Bulletsl"/>
        <w:numPr>
          <w:ilvl w:val="0"/>
          <w:numId w:val="0"/>
        </w:numPr>
        <w:ind w:left="720"/>
        <w:rPr>
          <w:sz w:val="22"/>
          <w:szCs w:val="22"/>
        </w:rPr>
      </w:pPr>
      <w:r w:rsidRPr="003E3E8B">
        <w:rPr>
          <w:sz w:val="22"/>
          <w:szCs w:val="22"/>
        </w:rPr>
        <w:t>The Court applied the coercion test to strike down a school district’s policy regarding the selection of a student to deliver an invocation before home football games because it promoted public prayer.</w:t>
      </w:r>
    </w:p>
    <w:p w:rsidR="001F5412" w:rsidRPr="001F5412" w:rsidRDefault="001F5412" w:rsidP="001F5412">
      <w:pPr>
        <w:pStyle w:val="Bulletsl"/>
        <w:numPr>
          <w:ilvl w:val="0"/>
          <w:numId w:val="0"/>
        </w:numPr>
        <w:spacing w:after="200" w:line="276" w:lineRule="auto"/>
        <w:ind w:left="720"/>
        <w:rPr>
          <w:b/>
          <w:i/>
          <w:sz w:val="4"/>
          <w:szCs w:val="4"/>
        </w:rPr>
      </w:pPr>
    </w:p>
    <w:p w:rsidR="001B58D1" w:rsidRPr="001E266F" w:rsidRDefault="001B58D1" w:rsidP="007A3CBB">
      <w:pPr>
        <w:pStyle w:val="Bulletsl"/>
        <w:spacing w:after="200" w:line="276" w:lineRule="auto"/>
      </w:pPr>
      <w:r w:rsidRPr="001E266F">
        <w:rPr>
          <w:b/>
          <w:sz w:val="22"/>
          <w:szCs w:val="22"/>
        </w:rPr>
        <w:t>Town of Greece v. Galloway (2013)</w:t>
      </w:r>
      <w:r w:rsidRPr="001E266F">
        <w:rPr>
          <w:b/>
          <w:sz w:val="22"/>
          <w:szCs w:val="22"/>
        </w:rPr>
        <w:br/>
      </w:r>
      <w:r w:rsidRPr="001B58D1">
        <w:rPr>
          <w:color w:val="0C0C0C"/>
          <w:sz w:val="22"/>
          <w:szCs w:val="22"/>
          <w:shd w:val="clear" w:color="auto" w:fill="FFFFFF"/>
        </w:rPr>
        <w:t>The town's practice of opening its town board meetings with a prayer offered by members of the clergy does not violate the Establishment Clause when the practice is consistent with the tradition long followed by Congress and state legislatures</w:t>
      </w:r>
      <w:r w:rsidR="001E266F">
        <w:rPr>
          <w:color w:val="0C0C0C"/>
          <w:sz w:val="22"/>
          <w:szCs w:val="22"/>
          <w:shd w:val="clear" w:color="auto" w:fill="FFFFFF"/>
        </w:rPr>
        <w:t>.</w:t>
      </w:r>
      <w:r w:rsidRPr="001B58D1">
        <w:rPr>
          <w:color w:val="0C0C0C"/>
          <w:sz w:val="22"/>
          <w:szCs w:val="22"/>
          <w:shd w:val="clear" w:color="auto" w:fill="FFFFFF"/>
        </w:rPr>
        <w:t xml:space="preserve"> </w:t>
      </w:r>
      <w:r w:rsidR="001E266F">
        <w:rPr>
          <w:color w:val="0C0C0C"/>
          <w:sz w:val="22"/>
          <w:szCs w:val="22"/>
          <w:shd w:val="clear" w:color="auto" w:fill="FFFFFF"/>
        </w:rPr>
        <w:t xml:space="preserve">The Court determined the that guests conducting business were not a captive audience </w:t>
      </w:r>
      <w:r w:rsidR="001E266F" w:rsidRPr="001B58D1">
        <w:rPr>
          <w:color w:val="0C0C0C"/>
          <w:sz w:val="22"/>
          <w:szCs w:val="22"/>
          <w:shd w:val="clear" w:color="auto" w:fill="FFFFFF"/>
        </w:rPr>
        <w:t>and the prayer does not coerce participation with non-adherents.</w:t>
      </w:r>
    </w:p>
    <w:p w:rsidR="007A3CBB" w:rsidRDefault="007C7621" w:rsidP="007A3CBB">
      <w:pPr>
        <w:pStyle w:val="Bulletsl"/>
        <w:spacing w:after="200" w:line="276" w:lineRule="auto"/>
      </w:pPr>
      <w:r w:rsidRPr="003E3E8B">
        <w:rPr>
          <w:sz w:val="22"/>
          <w:szCs w:val="22"/>
        </w:rPr>
        <w:t>While not binding on the Supreme Court of the United States, we note that the 7</w:t>
      </w:r>
      <w:r w:rsidRPr="003E3E8B">
        <w:rPr>
          <w:sz w:val="22"/>
          <w:szCs w:val="22"/>
          <w:vertAlign w:val="superscript"/>
        </w:rPr>
        <w:t>th</w:t>
      </w:r>
      <w:r w:rsidRPr="003E3E8B">
        <w:rPr>
          <w:sz w:val="22"/>
          <w:szCs w:val="22"/>
        </w:rPr>
        <w:t xml:space="preserve"> Circuit issued an opinion in </w:t>
      </w:r>
      <w:r w:rsidRPr="003E3E8B">
        <w:rPr>
          <w:i/>
          <w:sz w:val="22"/>
          <w:szCs w:val="22"/>
        </w:rPr>
        <w:t>Sherman v. Wheeling Township Schools</w:t>
      </w:r>
      <w:r w:rsidRPr="003E3E8B">
        <w:rPr>
          <w:sz w:val="22"/>
          <w:szCs w:val="22"/>
        </w:rPr>
        <w:t xml:space="preserve"> (1992) that held that it was not unconstitutional for teachers and willing students to recite the pledge of allegiance in class daily.  One reason for granting certiorari in </w:t>
      </w:r>
      <w:proofErr w:type="spellStart"/>
      <w:r w:rsidRPr="003E3E8B">
        <w:rPr>
          <w:i/>
          <w:sz w:val="22"/>
          <w:szCs w:val="22"/>
        </w:rPr>
        <w:t>Newdow</w:t>
      </w:r>
      <w:proofErr w:type="spellEnd"/>
      <w:r w:rsidRPr="003E3E8B">
        <w:rPr>
          <w:sz w:val="22"/>
          <w:szCs w:val="22"/>
        </w:rPr>
        <w:t xml:space="preserve"> is that the decisions in </w:t>
      </w:r>
      <w:r w:rsidRPr="003E3E8B">
        <w:rPr>
          <w:i/>
          <w:sz w:val="22"/>
          <w:szCs w:val="22"/>
        </w:rPr>
        <w:t>Sherman</w:t>
      </w:r>
      <w:r w:rsidRPr="003E3E8B">
        <w:rPr>
          <w:sz w:val="22"/>
          <w:szCs w:val="22"/>
        </w:rPr>
        <w:t xml:space="preserve"> (7</w:t>
      </w:r>
      <w:r w:rsidRPr="003E3E8B">
        <w:rPr>
          <w:sz w:val="22"/>
          <w:szCs w:val="22"/>
          <w:vertAlign w:val="superscript"/>
        </w:rPr>
        <w:t>th</w:t>
      </w:r>
      <w:r w:rsidRPr="003E3E8B">
        <w:rPr>
          <w:sz w:val="22"/>
          <w:szCs w:val="22"/>
        </w:rPr>
        <w:t xml:space="preserve"> Circuit) and </w:t>
      </w:r>
      <w:proofErr w:type="spellStart"/>
      <w:r w:rsidRPr="003E3E8B">
        <w:rPr>
          <w:i/>
          <w:sz w:val="22"/>
          <w:szCs w:val="22"/>
        </w:rPr>
        <w:t>Newdow</w:t>
      </w:r>
      <w:proofErr w:type="spellEnd"/>
      <w:r w:rsidRPr="003E3E8B">
        <w:rPr>
          <w:sz w:val="22"/>
          <w:szCs w:val="22"/>
        </w:rPr>
        <w:t xml:space="preserve"> (9</w:t>
      </w:r>
      <w:r w:rsidRPr="003E3E8B">
        <w:rPr>
          <w:sz w:val="22"/>
          <w:szCs w:val="22"/>
          <w:vertAlign w:val="superscript"/>
        </w:rPr>
        <w:t>th</w:t>
      </w:r>
      <w:r w:rsidRPr="003E3E8B">
        <w:rPr>
          <w:sz w:val="22"/>
          <w:szCs w:val="22"/>
        </w:rPr>
        <w:t xml:space="preserve"> Circuit) were in direct confl</w:t>
      </w:r>
      <w:r w:rsidR="000B1329" w:rsidRPr="003E3E8B">
        <w:rPr>
          <w:sz w:val="22"/>
          <w:szCs w:val="22"/>
        </w:rPr>
        <w:t>ict.</w:t>
      </w:r>
    </w:p>
    <w:p w:rsidR="00285899" w:rsidRDefault="00891F9B" w:rsidP="00891F9B">
      <w:pPr>
        <w:pStyle w:val="Bulletsl"/>
        <w:numPr>
          <w:ilvl w:val="0"/>
          <w:numId w:val="0"/>
        </w:numPr>
        <w:rPr>
          <w:rFonts w:ascii="Gill Sans MT" w:hAnsi="Gill Sans MT"/>
          <w:b/>
          <w:sz w:val="22"/>
          <w:szCs w:val="22"/>
        </w:rPr>
      </w:pPr>
      <w:r>
        <w:rPr>
          <w:b/>
          <w:sz w:val="4"/>
          <w:szCs w:val="4"/>
        </w:rPr>
        <w:br/>
      </w:r>
      <w:r>
        <w:rPr>
          <w:b/>
          <w:sz w:val="4"/>
          <w:szCs w:val="4"/>
        </w:rPr>
        <w:br/>
      </w:r>
      <w:r>
        <w:rPr>
          <w:b/>
          <w:sz w:val="4"/>
          <w:szCs w:val="4"/>
        </w:rPr>
        <w:br/>
      </w:r>
      <w:r>
        <w:rPr>
          <w:b/>
          <w:sz w:val="4"/>
          <w:szCs w:val="4"/>
        </w:rPr>
        <w:br/>
      </w:r>
      <w:r>
        <w:rPr>
          <w:b/>
          <w:sz w:val="4"/>
          <w:szCs w:val="4"/>
        </w:rPr>
        <w:br/>
      </w:r>
      <w:r w:rsidR="00CB0AA8">
        <w:rPr>
          <w:b/>
        </w:rPr>
        <w:t xml:space="preserve">III. </w:t>
      </w:r>
      <w:r w:rsidR="00580CA9" w:rsidRPr="00D70C08">
        <w:rPr>
          <w:b/>
        </w:rPr>
        <w:t xml:space="preserve">Applying Precedent: </w:t>
      </w:r>
      <w:r w:rsidR="003D0B51">
        <w:t>Read each of the above precedents and</w:t>
      </w:r>
      <w:r w:rsidR="002B5368">
        <w:t xml:space="preserve"> determine</w:t>
      </w:r>
      <w:r w:rsidR="003D0B51">
        <w:t xml:space="preserve"> </w:t>
      </w:r>
      <w:r w:rsidR="001E266F">
        <w:t>how the</w:t>
      </w:r>
      <w:r w:rsidR="00580CA9">
        <w:t xml:space="preserve"> Supreme</w:t>
      </w:r>
      <w:r w:rsidR="00580CA9" w:rsidRPr="00D70C08">
        <w:t xml:space="preserve"> </w:t>
      </w:r>
      <w:r w:rsidR="00580CA9">
        <w:t>C</w:t>
      </w:r>
      <w:r w:rsidR="00580CA9" w:rsidRPr="00D70C08">
        <w:t>ourt would</w:t>
      </w:r>
      <w:r w:rsidR="001E266F">
        <w:t xml:space="preserve"> likely </w:t>
      </w:r>
      <w:r w:rsidR="00580CA9" w:rsidRPr="00D70C08">
        <w:t xml:space="preserve">rule </w:t>
      </w:r>
      <w:r w:rsidR="001E266F">
        <w:t xml:space="preserve">based upon which </w:t>
      </w:r>
      <w:r w:rsidR="00580CA9" w:rsidRPr="00D70C08">
        <w:t>case</w:t>
      </w:r>
      <w:r w:rsidR="001E266F">
        <w:t>s they found</w:t>
      </w:r>
      <w:r w:rsidR="00580CA9" w:rsidRPr="00D70C08">
        <w:t xml:space="preserve"> </w:t>
      </w:r>
      <w:r w:rsidR="00580CA9" w:rsidRPr="00D70C08">
        <w:rPr>
          <w:b/>
          <w:bCs/>
        </w:rPr>
        <w:t>analogous</w:t>
      </w:r>
      <w:r w:rsidR="00580CA9" w:rsidRPr="00D70C08">
        <w:t xml:space="preserve"> (similar) and apply in their ruling</w:t>
      </w:r>
      <w:r w:rsidR="002B5368">
        <w:rPr>
          <w:iCs/>
        </w:rPr>
        <w:t xml:space="preserve">. Explain how they are likely to rule </w:t>
      </w:r>
      <w:r>
        <w:rPr>
          <w:iCs/>
        </w:rPr>
        <w:t xml:space="preserve">applying precedent and be sure to include specific precedent(s) from above in your response. </w:t>
      </w:r>
    </w:p>
    <w:p w:rsidR="00AD55EB" w:rsidRPr="00AD55EB" w:rsidRDefault="003E3E8B" w:rsidP="00891F9B">
      <w:pPr>
        <w:pStyle w:val="Bulletsl"/>
        <w:numPr>
          <w:ilvl w:val="0"/>
          <w:numId w:val="0"/>
        </w:numPr>
        <w:rPr>
          <w:rFonts w:ascii="Gill Sans MT" w:hAnsi="Gill Sans MT"/>
          <w:b/>
          <w:sz w:val="22"/>
          <w:szCs w:val="22"/>
        </w:rPr>
      </w:pPr>
      <w:r>
        <w:rPr>
          <w:rFonts w:ascii="Gill Sans MT" w:hAnsi="Gill Sans 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0B51">
        <w:rPr>
          <w:rFonts w:ascii="Gill Sans MT" w:hAnsi="Gill Sans MT"/>
          <w:sz w:val="22"/>
          <w:szCs w:val="22"/>
        </w:rPr>
        <w:t>____________________________________________________________________________________________________________________________________________________________________________________________</w:t>
      </w:r>
      <w:r w:rsidR="00AD55EB">
        <w:rPr>
          <w:rFonts w:ascii="Gill Sans MT" w:hAnsi="Gill Sans MT"/>
          <w:sz w:val="22"/>
          <w:szCs w:val="22"/>
        </w:rPr>
        <w:t>__________________________________________________________________________________________</w:t>
      </w:r>
      <w:r w:rsidR="00891F9B">
        <w:rPr>
          <w:rFonts w:ascii="Gill Sans MT" w:hAnsi="Gill Sans MT"/>
          <w:sz w:val="22"/>
          <w:szCs w:val="22"/>
        </w:rPr>
        <w:br/>
        <w:t>___________________________________________________________________________________________</w:t>
      </w:r>
    </w:p>
    <w:p w:rsidR="00E06D30" w:rsidRPr="00AD55EB" w:rsidRDefault="00AD55EB" w:rsidP="007B1B71">
      <w:pPr>
        <w:widowControl w:val="0"/>
        <w:rPr>
          <w:rFonts w:ascii="Gill Sans MT" w:hAnsi="Gill Sans MT"/>
          <w:i/>
        </w:rPr>
      </w:pPr>
      <w:r w:rsidRPr="004271A1">
        <w:rPr>
          <w:rFonts w:ascii="Gill Sans MT" w:hAnsi="Gill Sans MT"/>
          <w:b/>
        </w:rPr>
        <w:lastRenderedPageBreak/>
        <w:t>I</w:t>
      </w:r>
      <w:r w:rsidR="00CB0AA8" w:rsidRPr="004271A1">
        <w:rPr>
          <w:rFonts w:ascii="Gill Sans MT" w:hAnsi="Gill Sans MT"/>
          <w:b/>
        </w:rPr>
        <w:t>V</w:t>
      </w:r>
      <w:r w:rsidRPr="004271A1">
        <w:rPr>
          <w:rFonts w:ascii="Gill Sans MT" w:hAnsi="Gill Sans MT"/>
          <w:b/>
        </w:rPr>
        <w:t>.</w:t>
      </w:r>
      <w:r w:rsidRPr="00AD55EB">
        <w:rPr>
          <w:rFonts w:ascii="Gill Sans MT" w:hAnsi="Gill Sans MT"/>
        </w:rPr>
        <w:t xml:space="preserve"> </w:t>
      </w:r>
      <w:r w:rsidR="00E06D30" w:rsidRPr="00AD55EB">
        <w:rPr>
          <w:rFonts w:ascii="Gill Sans MT" w:hAnsi="Gill Sans MT"/>
        </w:rPr>
        <w:t>Identifying Arguments: read each of the following arguments and place a</w:t>
      </w:r>
      <w:r w:rsidRPr="00AD55EB">
        <w:rPr>
          <w:rFonts w:ascii="Gill Sans MT" w:hAnsi="Gill Sans MT"/>
        </w:rPr>
        <w:t>n</w:t>
      </w:r>
      <w:r w:rsidR="00E06D30" w:rsidRPr="00AD55EB">
        <w:rPr>
          <w:rFonts w:ascii="Gill Sans MT" w:hAnsi="Gill Sans MT"/>
        </w:rPr>
        <w:t xml:space="preserve"> </w:t>
      </w:r>
      <w:r w:rsidR="00E06D30" w:rsidRPr="00AD55EB">
        <w:rPr>
          <w:rFonts w:ascii="Gill Sans MT" w:hAnsi="Gill Sans MT"/>
          <w:b/>
        </w:rPr>
        <w:t>EG</w:t>
      </w:r>
      <w:r w:rsidR="00E06D30" w:rsidRPr="00AD55EB">
        <w:rPr>
          <w:rFonts w:ascii="Gill Sans MT" w:hAnsi="Gill Sans MT"/>
        </w:rPr>
        <w:t xml:space="preserve"> next to those arguments that support Elk Grove Unified School District and a </w:t>
      </w:r>
      <w:r w:rsidR="00E06D30" w:rsidRPr="00AD55EB">
        <w:rPr>
          <w:rFonts w:ascii="Gill Sans MT" w:hAnsi="Gill Sans MT"/>
          <w:b/>
        </w:rPr>
        <w:t>N</w:t>
      </w:r>
      <w:r w:rsidR="00E06D30" w:rsidRPr="00AD55EB">
        <w:rPr>
          <w:rFonts w:ascii="Gill Sans MT" w:hAnsi="Gill Sans MT"/>
        </w:rPr>
        <w:t xml:space="preserve"> next to those that support the Michael </w:t>
      </w:r>
      <w:proofErr w:type="spellStart"/>
      <w:r w:rsidR="00E06D30" w:rsidRPr="00AD55EB">
        <w:rPr>
          <w:rFonts w:ascii="Gill Sans MT" w:hAnsi="Gill Sans MT"/>
        </w:rPr>
        <w:t>Newdow’s</w:t>
      </w:r>
      <w:proofErr w:type="spellEnd"/>
      <w:r w:rsidR="00E06D30" w:rsidRPr="00AD55EB">
        <w:rPr>
          <w:rFonts w:ascii="Gill Sans MT" w:hAnsi="Gill Sans MT"/>
        </w:rPr>
        <w:t xml:space="preserve"> position</w:t>
      </w:r>
      <w:r w:rsidR="00E06D30" w:rsidRPr="00AD55EB">
        <w:rPr>
          <w:rFonts w:ascii="Gill Sans MT" w:hAnsi="Gill Sans MT"/>
          <w:i/>
        </w:rPr>
        <w:t xml:space="preserve">.  </w:t>
      </w:r>
      <w:r w:rsidR="00561577" w:rsidRPr="00AD55EB">
        <w:rPr>
          <w:rFonts w:ascii="Gill Sans MT" w:hAnsi="Gill Sans MT"/>
          <w:i/>
        </w:rPr>
        <w:br/>
      </w:r>
    </w:p>
    <w:p w:rsidR="00E06D30" w:rsidRPr="00285899" w:rsidRDefault="00E06D30" w:rsidP="007B1B71">
      <w:pPr>
        <w:rPr>
          <w:sz w:val="21"/>
          <w:szCs w:val="21"/>
        </w:rPr>
      </w:pPr>
      <w:r w:rsidRPr="00285899">
        <w:rPr>
          <w:sz w:val="21"/>
          <w:szCs w:val="21"/>
        </w:rPr>
        <w:t>_____</w:t>
      </w:r>
      <w:r w:rsidR="00EB467C" w:rsidRPr="00285899">
        <w:rPr>
          <w:sz w:val="21"/>
          <w:szCs w:val="21"/>
        </w:rPr>
        <w:t xml:space="preserve">1. </w:t>
      </w:r>
      <w:r w:rsidRPr="00285899">
        <w:rPr>
          <w:b/>
          <w:sz w:val="21"/>
          <w:szCs w:val="21"/>
        </w:rPr>
        <w:t>EG/N</w:t>
      </w:r>
      <w:r w:rsidRPr="00285899">
        <w:rPr>
          <w:sz w:val="21"/>
          <w:szCs w:val="21"/>
        </w:rPr>
        <w:t xml:space="preserve"> </w:t>
      </w:r>
      <w:r w:rsidR="007C7621" w:rsidRPr="00285899">
        <w:rPr>
          <w:sz w:val="21"/>
          <w:szCs w:val="21"/>
        </w:rPr>
        <w:t xml:space="preserve">Reciting the Pledge of Allegiance is a patriotic exercise, not a statement of religious belief.  The reference to God </w:t>
      </w:r>
      <w:r w:rsidR="007C7621" w:rsidRPr="00285899">
        <w:rPr>
          <w:i/>
          <w:sz w:val="21"/>
          <w:szCs w:val="21"/>
        </w:rPr>
        <w:t xml:space="preserve">permissibly </w:t>
      </w:r>
      <w:r w:rsidR="007C7621" w:rsidRPr="00285899">
        <w:rPr>
          <w:sz w:val="21"/>
          <w:szCs w:val="21"/>
        </w:rPr>
        <w:t>acknowledges the role that faith in God has played in the country’s formation, political foundation, and constitutional development.</w:t>
      </w:r>
    </w:p>
    <w:p w:rsidR="007B1B71" w:rsidRPr="00285899" w:rsidRDefault="007B1B71" w:rsidP="007B1B71">
      <w:pPr>
        <w:rPr>
          <w:sz w:val="16"/>
          <w:szCs w:val="16"/>
        </w:rPr>
      </w:pPr>
    </w:p>
    <w:p w:rsidR="00E06D30" w:rsidRPr="00961E7C" w:rsidRDefault="00E06D30" w:rsidP="007B1B71">
      <w:pPr>
        <w:rPr>
          <w:sz w:val="22"/>
          <w:szCs w:val="22"/>
        </w:rPr>
      </w:pPr>
      <w:r w:rsidRPr="00961E7C">
        <w:rPr>
          <w:sz w:val="22"/>
          <w:szCs w:val="22"/>
        </w:rPr>
        <w:t>_____</w:t>
      </w:r>
      <w:r w:rsidR="00EB467C" w:rsidRPr="00961E7C">
        <w:rPr>
          <w:sz w:val="22"/>
          <w:szCs w:val="22"/>
        </w:rPr>
        <w:t xml:space="preserve">2. </w:t>
      </w:r>
      <w:r w:rsidRPr="00961E7C">
        <w:rPr>
          <w:b/>
          <w:sz w:val="22"/>
          <w:szCs w:val="22"/>
        </w:rPr>
        <w:t>EG/N</w:t>
      </w:r>
      <w:r w:rsidRPr="00961E7C">
        <w:rPr>
          <w:sz w:val="22"/>
          <w:szCs w:val="22"/>
        </w:rPr>
        <w:t xml:space="preserve"> </w:t>
      </w:r>
      <w:r w:rsidR="007C7621" w:rsidRPr="00961E7C">
        <w:rPr>
          <w:sz w:val="22"/>
          <w:szCs w:val="22"/>
        </w:rPr>
        <w:t xml:space="preserve">Focusing on the purpose and effect of the Pledge as a whole, rather than looking only at the 1954 amendment, the policy of reciting it in school does not violate the </w:t>
      </w:r>
      <w:r w:rsidR="007C7621" w:rsidRPr="00961E7C">
        <w:rPr>
          <w:i/>
          <w:sz w:val="22"/>
          <w:szCs w:val="22"/>
        </w:rPr>
        <w:t xml:space="preserve">Lemon </w:t>
      </w:r>
      <w:r w:rsidR="007C7621" w:rsidRPr="00961E7C">
        <w:rPr>
          <w:sz w:val="22"/>
          <w:szCs w:val="22"/>
        </w:rPr>
        <w:t xml:space="preserve">test because it serves the secular </w:t>
      </w:r>
      <w:r w:rsidR="007C7621" w:rsidRPr="00961E7C">
        <w:rPr>
          <w:i/>
          <w:sz w:val="22"/>
          <w:szCs w:val="22"/>
        </w:rPr>
        <w:t>purpose</w:t>
      </w:r>
      <w:r w:rsidR="007C7621" w:rsidRPr="00961E7C">
        <w:rPr>
          <w:sz w:val="22"/>
          <w:szCs w:val="22"/>
        </w:rPr>
        <w:t xml:space="preserve"> of promoting patriotism and national unity. Also, it does not have the </w:t>
      </w:r>
      <w:r w:rsidR="007C7621" w:rsidRPr="00961E7C">
        <w:rPr>
          <w:i/>
          <w:sz w:val="22"/>
          <w:szCs w:val="22"/>
        </w:rPr>
        <w:t>effect</w:t>
      </w:r>
      <w:r w:rsidR="007C7621" w:rsidRPr="00961E7C">
        <w:rPr>
          <w:sz w:val="22"/>
          <w:szCs w:val="22"/>
        </w:rPr>
        <w:t xml:space="preserve"> of advancing or inhibiting religion.</w:t>
      </w:r>
    </w:p>
    <w:p w:rsidR="007B1B71" w:rsidRPr="00285899" w:rsidRDefault="007B1B71" w:rsidP="007B1B71">
      <w:pPr>
        <w:rPr>
          <w:sz w:val="16"/>
          <w:szCs w:val="16"/>
        </w:rPr>
      </w:pPr>
    </w:p>
    <w:p w:rsidR="00E06D30" w:rsidRPr="00961E7C" w:rsidRDefault="00E06D30" w:rsidP="007B1B71">
      <w:pPr>
        <w:rPr>
          <w:sz w:val="22"/>
          <w:szCs w:val="22"/>
        </w:rPr>
      </w:pPr>
      <w:r w:rsidRPr="00961E7C">
        <w:rPr>
          <w:sz w:val="22"/>
          <w:szCs w:val="22"/>
        </w:rPr>
        <w:t>_____</w:t>
      </w:r>
      <w:r w:rsidR="00EB467C" w:rsidRPr="00961E7C">
        <w:rPr>
          <w:sz w:val="22"/>
          <w:szCs w:val="22"/>
        </w:rPr>
        <w:t xml:space="preserve">3. </w:t>
      </w:r>
      <w:r w:rsidRPr="00961E7C">
        <w:rPr>
          <w:b/>
          <w:sz w:val="22"/>
          <w:szCs w:val="22"/>
        </w:rPr>
        <w:t>EG/N</w:t>
      </w:r>
      <w:r w:rsidRPr="00961E7C">
        <w:rPr>
          <w:sz w:val="22"/>
          <w:szCs w:val="22"/>
        </w:rPr>
        <w:t xml:space="preserve"> The rights of parents to instill non-monotheistic values (belief in something other than one God) in their children are denied when tax-paid teachers lead impressionable children in joint recitation that the nation is united under one god on a daily basis.</w:t>
      </w:r>
    </w:p>
    <w:p w:rsidR="007B1B71" w:rsidRPr="00285899" w:rsidRDefault="007B1B71" w:rsidP="007B1B71">
      <w:pPr>
        <w:rPr>
          <w:sz w:val="16"/>
          <w:szCs w:val="16"/>
        </w:rPr>
      </w:pPr>
    </w:p>
    <w:p w:rsidR="007C7621" w:rsidRPr="00961E7C" w:rsidRDefault="00E06D30" w:rsidP="007B1B71">
      <w:pPr>
        <w:rPr>
          <w:sz w:val="22"/>
          <w:szCs w:val="22"/>
        </w:rPr>
      </w:pPr>
      <w:r w:rsidRPr="00961E7C">
        <w:rPr>
          <w:sz w:val="22"/>
          <w:szCs w:val="22"/>
        </w:rPr>
        <w:t>_____</w:t>
      </w:r>
      <w:r w:rsidR="00EB467C" w:rsidRPr="00961E7C">
        <w:rPr>
          <w:sz w:val="22"/>
          <w:szCs w:val="22"/>
        </w:rPr>
        <w:t xml:space="preserve">4. </w:t>
      </w:r>
      <w:r w:rsidRPr="00961E7C">
        <w:rPr>
          <w:b/>
          <w:sz w:val="22"/>
          <w:szCs w:val="22"/>
        </w:rPr>
        <w:t>EG/N</w:t>
      </w:r>
      <w:r w:rsidRPr="00961E7C">
        <w:rPr>
          <w:sz w:val="22"/>
          <w:szCs w:val="22"/>
        </w:rPr>
        <w:t xml:space="preserve"> </w:t>
      </w:r>
      <w:r w:rsidR="007C7621" w:rsidRPr="00961E7C">
        <w:rPr>
          <w:sz w:val="22"/>
          <w:szCs w:val="22"/>
        </w:rPr>
        <w:t>The 1954 amendment to the Pledge reflects a traditional concept that our nation was founded on a fundamental belief in God that is reflected in the Declaration of Independence (“endowed by their Creator”) and on American currency (“In God We Trust”). It is, therefore, an acknowledgement of religious tradition, but it does not endorse any particular religious belief.</w:t>
      </w:r>
    </w:p>
    <w:p w:rsidR="007B1B71" w:rsidRPr="00961E7C" w:rsidRDefault="007B1B71" w:rsidP="007B1B71">
      <w:pPr>
        <w:rPr>
          <w:sz w:val="22"/>
          <w:szCs w:val="22"/>
        </w:rPr>
      </w:pPr>
    </w:p>
    <w:p w:rsidR="008D661D" w:rsidRPr="00961E7C" w:rsidRDefault="00E06D30" w:rsidP="007B1B71">
      <w:pPr>
        <w:rPr>
          <w:sz w:val="22"/>
          <w:szCs w:val="22"/>
        </w:rPr>
      </w:pPr>
      <w:r w:rsidRPr="00961E7C">
        <w:rPr>
          <w:sz w:val="22"/>
          <w:szCs w:val="22"/>
        </w:rPr>
        <w:t>_____</w:t>
      </w:r>
      <w:r w:rsidR="00EB467C" w:rsidRPr="00961E7C">
        <w:rPr>
          <w:sz w:val="22"/>
          <w:szCs w:val="22"/>
        </w:rPr>
        <w:t xml:space="preserve">5. </w:t>
      </w:r>
      <w:r w:rsidRPr="00961E7C">
        <w:rPr>
          <w:b/>
          <w:sz w:val="22"/>
          <w:szCs w:val="22"/>
        </w:rPr>
        <w:t>EG/N</w:t>
      </w:r>
      <w:r w:rsidRPr="00961E7C">
        <w:rPr>
          <w:sz w:val="22"/>
          <w:szCs w:val="22"/>
        </w:rPr>
        <w:t xml:space="preserve"> Reciting the Pledge in elementary schools is unconstitutional under the </w:t>
      </w:r>
      <w:r w:rsidRPr="00961E7C">
        <w:rPr>
          <w:i/>
          <w:sz w:val="22"/>
          <w:szCs w:val="22"/>
        </w:rPr>
        <w:t xml:space="preserve">Lemon </w:t>
      </w:r>
      <w:r w:rsidRPr="00961E7C">
        <w:rPr>
          <w:sz w:val="22"/>
          <w:szCs w:val="22"/>
        </w:rPr>
        <w:t xml:space="preserve">test because the preeminent </w:t>
      </w:r>
      <w:r w:rsidRPr="00961E7C">
        <w:rPr>
          <w:i/>
          <w:sz w:val="22"/>
          <w:szCs w:val="22"/>
        </w:rPr>
        <w:t>purpose</w:t>
      </w:r>
      <w:r w:rsidRPr="00961E7C">
        <w:rPr>
          <w:sz w:val="22"/>
          <w:szCs w:val="22"/>
        </w:rPr>
        <w:t xml:space="preserve"> of adding “under God” was religious and it has the </w:t>
      </w:r>
      <w:r w:rsidRPr="00961E7C">
        <w:rPr>
          <w:i/>
          <w:sz w:val="22"/>
          <w:szCs w:val="22"/>
        </w:rPr>
        <w:t>effect</w:t>
      </w:r>
      <w:r w:rsidRPr="00961E7C">
        <w:rPr>
          <w:sz w:val="22"/>
          <w:szCs w:val="22"/>
        </w:rPr>
        <w:t xml:space="preserve"> of promoting monotheistic religious beliefs.</w:t>
      </w:r>
      <w:r w:rsidR="008D661D" w:rsidRPr="00961E7C">
        <w:rPr>
          <w:sz w:val="22"/>
          <w:szCs w:val="22"/>
        </w:rPr>
        <w:br/>
      </w:r>
    </w:p>
    <w:p w:rsidR="00E06D30" w:rsidRPr="00961E7C" w:rsidRDefault="00A20F34" w:rsidP="007B1B71">
      <w:pPr>
        <w:rPr>
          <w:sz w:val="22"/>
          <w:szCs w:val="22"/>
        </w:rPr>
      </w:pPr>
      <w:r w:rsidRPr="00961E7C">
        <w:rPr>
          <w:sz w:val="22"/>
          <w:szCs w:val="22"/>
        </w:rPr>
        <w:t>_____</w:t>
      </w:r>
      <w:r w:rsidR="00EB467C" w:rsidRPr="00961E7C">
        <w:rPr>
          <w:sz w:val="22"/>
          <w:szCs w:val="22"/>
        </w:rPr>
        <w:t xml:space="preserve">6. </w:t>
      </w:r>
      <w:r w:rsidRPr="00961E7C">
        <w:rPr>
          <w:b/>
          <w:sz w:val="22"/>
          <w:szCs w:val="22"/>
        </w:rPr>
        <w:t>EG/N</w:t>
      </w:r>
      <w:r w:rsidRPr="00961E7C">
        <w:rPr>
          <w:sz w:val="22"/>
          <w:szCs w:val="22"/>
        </w:rPr>
        <w:t xml:space="preserve"> </w:t>
      </w:r>
      <w:r w:rsidR="00E06D30" w:rsidRPr="00961E7C">
        <w:rPr>
          <w:sz w:val="22"/>
          <w:szCs w:val="22"/>
        </w:rPr>
        <w:t>“One nation under God” is an unconstitutional endorsement of religion because it is the profession of a religious belief, namely, a belief in monotheism, and impermissibly takes a position with respect to the purely religious question of the existence and identity of God. (Congressional committee notes demonstrate that members added the phrase, in part, to show that “atheistic American” was a contradiction in terms.)</w:t>
      </w:r>
      <w:r w:rsidR="00561577" w:rsidRPr="00961E7C">
        <w:rPr>
          <w:sz w:val="22"/>
          <w:szCs w:val="22"/>
        </w:rPr>
        <w:br/>
      </w:r>
    </w:p>
    <w:p w:rsidR="00E06D30" w:rsidRPr="00961E7C" w:rsidRDefault="00A20F34" w:rsidP="007B1B71">
      <w:pPr>
        <w:rPr>
          <w:sz w:val="22"/>
          <w:szCs w:val="22"/>
        </w:rPr>
      </w:pPr>
      <w:r w:rsidRPr="00961E7C">
        <w:rPr>
          <w:sz w:val="22"/>
          <w:szCs w:val="22"/>
        </w:rPr>
        <w:t>_____</w:t>
      </w:r>
      <w:r w:rsidR="00EB467C" w:rsidRPr="00961E7C">
        <w:rPr>
          <w:sz w:val="22"/>
          <w:szCs w:val="22"/>
        </w:rPr>
        <w:t xml:space="preserve">7. </w:t>
      </w:r>
      <w:r w:rsidRPr="00961E7C">
        <w:rPr>
          <w:b/>
          <w:sz w:val="22"/>
          <w:szCs w:val="22"/>
        </w:rPr>
        <w:t>EG/N</w:t>
      </w:r>
      <w:r w:rsidRPr="00961E7C">
        <w:rPr>
          <w:sz w:val="22"/>
          <w:szCs w:val="22"/>
        </w:rPr>
        <w:t xml:space="preserve"> </w:t>
      </w:r>
      <w:proofErr w:type="gramStart"/>
      <w:r w:rsidR="00E06D30" w:rsidRPr="00961E7C">
        <w:rPr>
          <w:sz w:val="22"/>
          <w:szCs w:val="22"/>
        </w:rPr>
        <w:t>As</w:t>
      </w:r>
      <w:proofErr w:type="gramEnd"/>
      <w:r w:rsidR="00E06D30" w:rsidRPr="00961E7C">
        <w:rPr>
          <w:sz w:val="22"/>
          <w:szCs w:val="22"/>
        </w:rPr>
        <w:t xml:space="preserve"> in </w:t>
      </w:r>
      <w:r w:rsidR="00E06D30" w:rsidRPr="00961E7C">
        <w:rPr>
          <w:i/>
          <w:sz w:val="22"/>
          <w:szCs w:val="22"/>
        </w:rPr>
        <w:t>Lee</w:t>
      </w:r>
      <w:r w:rsidR="00E06D30" w:rsidRPr="00961E7C">
        <w:rPr>
          <w:sz w:val="22"/>
          <w:szCs w:val="22"/>
        </w:rPr>
        <w:t xml:space="preserve">, the school district’s Pledge policy is coercive because it places students in the untenable position of having to choose between participating in exercises with religious content and protesting. The coercion is arguably greater than in </w:t>
      </w:r>
      <w:r w:rsidR="00E06D30" w:rsidRPr="00961E7C">
        <w:rPr>
          <w:i/>
          <w:sz w:val="22"/>
          <w:szCs w:val="22"/>
        </w:rPr>
        <w:t>Lee</w:t>
      </w:r>
      <w:r w:rsidR="00E06D30" w:rsidRPr="00961E7C">
        <w:rPr>
          <w:sz w:val="22"/>
          <w:szCs w:val="22"/>
        </w:rPr>
        <w:t xml:space="preserve"> because younger, more impressionable students are involved, and the Pledge is repeated each day, multiplying the coercive effects.  </w:t>
      </w:r>
      <w:r w:rsidR="008D661D" w:rsidRPr="00961E7C">
        <w:rPr>
          <w:sz w:val="22"/>
          <w:szCs w:val="22"/>
        </w:rPr>
        <w:br/>
      </w:r>
    </w:p>
    <w:p w:rsidR="00965F6B" w:rsidRPr="00B009F7" w:rsidRDefault="00391FB3" w:rsidP="004E1153">
      <w:pPr>
        <w:rPr>
          <w:rFonts w:ascii="Garamond" w:hAnsi="Garamond"/>
        </w:rPr>
      </w:pPr>
      <w:r w:rsidRPr="00961E7C">
        <w:rPr>
          <w:sz w:val="22"/>
          <w:szCs w:val="22"/>
        </w:rPr>
        <w:t>_____</w:t>
      </w:r>
      <w:r w:rsidR="00EB467C" w:rsidRPr="00961E7C">
        <w:rPr>
          <w:sz w:val="22"/>
          <w:szCs w:val="22"/>
        </w:rPr>
        <w:t xml:space="preserve">8. </w:t>
      </w:r>
      <w:r w:rsidRPr="00961E7C">
        <w:rPr>
          <w:b/>
          <w:sz w:val="22"/>
          <w:szCs w:val="22"/>
        </w:rPr>
        <w:t>EG/N</w:t>
      </w:r>
      <w:r w:rsidRPr="00961E7C">
        <w:rPr>
          <w:sz w:val="22"/>
          <w:szCs w:val="22"/>
        </w:rPr>
        <w:t xml:space="preserve"> </w:t>
      </w:r>
      <w:proofErr w:type="gramStart"/>
      <w:r w:rsidR="007C7621" w:rsidRPr="00961E7C">
        <w:rPr>
          <w:sz w:val="22"/>
          <w:szCs w:val="22"/>
        </w:rPr>
        <w:t>The</w:t>
      </w:r>
      <w:proofErr w:type="gramEnd"/>
      <w:r w:rsidR="007C7621" w:rsidRPr="00961E7C">
        <w:rPr>
          <w:sz w:val="22"/>
          <w:szCs w:val="22"/>
        </w:rPr>
        <w:t xml:space="preserve"> Pledge policy is not a violation of the coercion test because the Pledge is not a religious act or profession of religious beliefs.  The phrase “under God” is not equivalent to the religious act of prayer at issue in </w:t>
      </w:r>
      <w:r w:rsidR="007C7621" w:rsidRPr="00961E7C">
        <w:rPr>
          <w:i/>
          <w:sz w:val="22"/>
          <w:szCs w:val="22"/>
        </w:rPr>
        <w:t>Lee</w:t>
      </w:r>
      <w:r w:rsidR="007C7621" w:rsidRPr="00961E7C">
        <w:rPr>
          <w:sz w:val="22"/>
          <w:szCs w:val="22"/>
        </w:rPr>
        <w:t>.  Instead it is a form of “ceremonial deism,” or generically religious actions largely devoid of specific religious meaning, which are constitutional.</w:t>
      </w:r>
      <w:r w:rsidR="004E1153">
        <w:rPr>
          <w:sz w:val="22"/>
          <w:szCs w:val="22"/>
        </w:rPr>
        <w:br/>
      </w:r>
      <w:r w:rsidR="004E1153">
        <w:rPr>
          <w:sz w:val="22"/>
          <w:szCs w:val="22"/>
        </w:rPr>
        <w:br/>
      </w:r>
      <w:r w:rsidR="001E266F">
        <w:rPr>
          <w:b/>
        </w:rPr>
        <w:t xml:space="preserve">V. </w:t>
      </w:r>
      <w:r w:rsidR="004E1153" w:rsidRPr="00D3228C">
        <w:rPr>
          <w:b/>
        </w:rPr>
        <w:t>The Argument(s) above I thought was most persuasive stated….</w:t>
      </w:r>
      <w:r w:rsidR="004E1153" w:rsidRPr="00D3228C">
        <w:t xml:space="preserve"> </w:t>
      </w:r>
      <w:r w:rsidR="004E1153" w:rsidRPr="00D3228C">
        <w:rPr>
          <w:b/>
        </w:rPr>
        <w:t>because…</w:t>
      </w:r>
      <w:r w:rsidR="004E1153">
        <w:rPr>
          <w:i/>
        </w:rPr>
        <w:t xml:space="preserve"> </w:t>
      </w:r>
      <w:r w:rsidR="004E1153" w:rsidRPr="00D322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153">
        <w:t>_____________________________________________________________________________________________________________________________________________________</w:t>
      </w:r>
      <w:r w:rsidR="001E266F">
        <w:t>________________</w:t>
      </w:r>
      <w:r w:rsidR="004E1153">
        <w:t>___</w:t>
      </w:r>
      <w:r w:rsidR="007B1B71">
        <w:rPr>
          <w:sz w:val="22"/>
          <w:szCs w:val="22"/>
        </w:rPr>
        <w:br/>
      </w:r>
      <w:r w:rsidR="00965F6B">
        <w:rPr>
          <w:rFonts w:ascii="Garamond" w:eastAsia="MS Mincho" w:hAnsi="Garamond"/>
          <w:b/>
          <w:sz w:val="12"/>
          <w:szCs w:val="12"/>
        </w:rPr>
        <w:br/>
      </w:r>
      <w:r w:rsidR="001E266F">
        <w:rPr>
          <w:rFonts w:ascii="Garamond" w:eastAsia="MS Mincho" w:hAnsi="Garamond"/>
          <w:b/>
        </w:rPr>
        <w:br/>
      </w:r>
      <w:r w:rsidR="00C11D2E">
        <w:rPr>
          <w:rFonts w:ascii="Garamond" w:eastAsia="MS Mincho" w:hAnsi="Garamond"/>
          <w:b/>
        </w:rPr>
        <w:t>VI</w:t>
      </w:r>
      <w:r w:rsidR="00965F6B">
        <w:rPr>
          <w:rFonts w:ascii="Garamond" w:eastAsia="MS Mincho" w:hAnsi="Garamond"/>
          <w:b/>
        </w:rPr>
        <w:t xml:space="preserve">. </w:t>
      </w:r>
      <w:r w:rsidR="00965F6B" w:rsidRPr="00B009F7">
        <w:rPr>
          <w:rFonts w:ascii="Garamond" w:eastAsia="MS Mincho" w:hAnsi="Garamond"/>
          <w:b/>
        </w:rPr>
        <w:t xml:space="preserve">When I asked my Parents/Guardians/Adult in my life the </w:t>
      </w:r>
      <w:r w:rsidR="00E465DD">
        <w:rPr>
          <w:rFonts w:ascii="Garamond" w:eastAsia="MS Mincho" w:hAnsi="Garamond"/>
          <w:b/>
        </w:rPr>
        <w:t>court case</w:t>
      </w:r>
      <w:r w:rsidR="00965F6B" w:rsidRPr="00B009F7">
        <w:rPr>
          <w:rFonts w:ascii="Garamond" w:eastAsia="MS Mincho" w:hAnsi="Garamond"/>
          <w:b/>
        </w:rPr>
        <w:t xml:space="preserve"> </w:t>
      </w:r>
      <w:r w:rsidR="005A282D">
        <w:rPr>
          <w:rFonts w:ascii="Garamond" w:eastAsia="MS Mincho" w:hAnsi="Garamond"/>
          <w:b/>
        </w:rPr>
        <w:t>issue</w:t>
      </w:r>
      <w:r w:rsidR="00965F6B" w:rsidRPr="00B009F7">
        <w:rPr>
          <w:rFonts w:ascii="Garamond" w:eastAsia="MS Mincho" w:hAnsi="Garamond"/>
          <w:b/>
        </w:rPr>
        <w:t>, they told me....</w:t>
      </w:r>
    </w:p>
    <w:p w:rsidR="00965F6B" w:rsidRPr="00333478" w:rsidRDefault="00965F6B" w:rsidP="00064C0E">
      <w:pPr>
        <w:tabs>
          <w:tab w:val="left" w:pos="4950"/>
        </w:tabs>
        <w:rPr>
          <w:rFonts w:ascii="Garamond" w:hAnsi="Garamond"/>
          <w:b/>
          <w:u w:val="single"/>
        </w:rPr>
      </w:pPr>
      <w:r w:rsidRPr="00333478">
        <w:rPr>
          <w:rFonts w:ascii="Garamond" w:eastAsia="MS Mincho" w:hAnsi="Garamond"/>
          <w:b/>
        </w:rPr>
        <w:t>___________________________________________________________________________________________________________________________________________________________________________________</w:t>
      </w:r>
      <w:r>
        <w:rPr>
          <w:rFonts w:ascii="Garamond" w:eastAsia="MS Mincho" w:hAnsi="Garamond"/>
          <w:b/>
        </w:rPr>
        <w:t>____________________________________________________________</w:t>
      </w:r>
      <w:r w:rsidR="001E266F">
        <w:rPr>
          <w:rFonts w:ascii="Garamond" w:eastAsia="MS Mincho" w:hAnsi="Garamond"/>
          <w:b/>
        </w:rPr>
        <w:t>________________________________________________________________________________________________________________________________________________________________________________________________</w:t>
      </w:r>
      <w:r>
        <w:rPr>
          <w:rFonts w:ascii="Garamond" w:eastAsia="MS Mincho" w:hAnsi="Garamond"/>
          <w:b/>
        </w:rPr>
        <w:t>____________________________________________________________________________________________________________________</w:t>
      </w:r>
      <w:r w:rsidRPr="00333478">
        <w:rPr>
          <w:rFonts w:ascii="Garamond" w:eastAsia="MS Mincho" w:hAnsi="Garamond"/>
          <w:b/>
        </w:rPr>
        <w:t>___________</w:t>
      </w:r>
      <w:r w:rsidR="00064C0E">
        <w:rPr>
          <w:rFonts w:ascii="Garamond" w:eastAsia="MS Mincho" w:hAnsi="Garamond"/>
          <w:b/>
        </w:rPr>
        <w:t>_________________________________________________________________________________</w:t>
      </w:r>
      <w:bookmarkStart w:id="0" w:name="_GoBack"/>
      <w:bookmarkEnd w:id="0"/>
      <w:r w:rsidRPr="00333478">
        <w:rPr>
          <w:rFonts w:ascii="Garamond" w:eastAsia="MS Mincho" w:hAnsi="Garamond"/>
          <w:b/>
        </w:rPr>
        <w:t>___________________________________________</w:t>
      </w:r>
      <w:r w:rsidRPr="00333478">
        <w:rPr>
          <w:rFonts w:ascii="Garamond" w:eastAsia="MS Mincho" w:hAnsi="Garamond"/>
          <w:b/>
          <w:highlight w:val="yellow"/>
        </w:rPr>
        <w:t>Parent</w:t>
      </w:r>
      <w:r w:rsidR="00064C0E">
        <w:rPr>
          <w:rFonts w:ascii="Garamond" w:eastAsia="MS Mincho" w:hAnsi="Garamond"/>
          <w:b/>
          <w:highlight w:val="yellow"/>
        </w:rPr>
        <w:t>(</w:t>
      </w:r>
      <w:r w:rsidRPr="00333478">
        <w:rPr>
          <w:rFonts w:ascii="Garamond" w:eastAsia="MS Mincho" w:hAnsi="Garamond"/>
          <w:b/>
          <w:highlight w:val="yellow"/>
        </w:rPr>
        <w:t>s</w:t>
      </w:r>
      <w:r w:rsidR="00064C0E">
        <w:rPr>
          <w:rFonts w:ascii="Garamond" w:eastAsia="MS Mincho" w:hAnsi="Garamond"/>
          <w:b/>
          <w:highlight w:val="yellow"/>
        </w:rPr>
        <w:t>)</w:t>
      </w:r>
      <w:r w:rsidRPr="00333478">
        <w:rPr>
          <w:rFonts w:ascii="Garamond" w:eastAsia="MS Mincho" w:hAnsi="Garamond"/>
          <w:b/>
          <w:highlight w:val="yellow"/>
        </w:rPr>
        <w:t>/Guardian</w:t>
      </w:r>
      <w:r w:rsidR="00064C0E">
        <w:rPr>
          <w:rFonts w:ascii="Garamond" w:eastAsia="MS Mincho" w:hAnsi="Garamond"/>
          <w:b/>
          <w:highlight w:val="yellow"/>
        </w:rPr>
        <w:t>(</w:t>
      </w:r>
      <w:r w:rsidRPr="00333478">
        <w:rPr>
          <w:rFonts w:ascii="Garamond" w:eastAsia="MS Mincho" w:hAnsi="Garamond"/>
          <w:b/>
          <w:highlight w:val="yellow"/>
        </w:rPr>
        <w:t>s</w:t>
      </w:r>
      <w:r w:rsidR="00064C0E">
        <w:rPr>
          <w:rFonts w:ascii="Garamond" w:eastAsia="MS Mincho" w:hAnsi="Garamond"/>
          <w:b/>
          <w:highlight w:val="yellow"/>
        </w:rPr>
        <w:t>)</w:t>
      </w:r>
      <w:r w:rsidRPr="00333478">
        <w:rPr>
          <w:rFonts w:ascii="Garamond" w:eastAsia="MS Mincho" w:hAnsi="Garamond"/>
          <w:b/>
          <w:highlight w:val="yellow"/>
        </w:rPr>
        <w:t>/Adult</w:t>
      </w:r>
      <w:r w:rsidR="00064C0E">
        <w:rPr>
          <w:rFonts w:ascii="Garamond" w:eastAsia="MS Mincho" w:hAnsi="Garamond"/>
          <w:b/>
          <w:highlight w:val="yellow"/>
        </w:rPr>
        <w:t>(s)</w:t>
      </w:r>
      <w:r w:rsidRPr="00333478">
        <w:rPr>
          <w:rFonts w:ascii="Garamond" w:eastAsia="MS Mincho" w:hAnsi="Garamond"/>
          <w:b/>
          <w:highlight w:val="yellow"/>
        </w:rPr>
        <w:t xml:space="preserve"> in my life </w:t>
      </w:r>
      <w:r w:rsidRPr="00333478">
        <w:rPr>
          <w:rFonts w:ascii="Garamond" w:hAnsi="Garamond"/>
          <w:b/>
          <w:highlight w:val="yellow"/>
          <w:u w:val="single"/>
        </w:rPr>
        <w:t>Initials:</w:t>
      </w:r>
    </w:p>
    <w:p w:rsidR="005A282D" w:rsidRDefault="004271A1" w:rsidP="005A282D">
      <w:pPr>
        <w:rPr>
          <w:rFonts w:ascii="Garamond" w:eastAsia="MS Mincho" w:hAnsi="Garamond"/>
          <w:b/>
          <w:color w:val="000000"/>
          <w:kern w:val="28"/>
          <w14:ligatures w14:val="standard"/>
          <w14:cntxtAlts/>
        </w:rPr>
      </w:pPr>
      <w:r>
        <w:rPr>
          <w:rFonts w:ascii="Garamond" w:eastAsia="MS Mincho" w:hAnsi="Garamond"/>
          <w:b/>
          <w:color w:val="000000"/>
          <w:kern w:val="28"/>
          <w14:ligatures w14:val="standard"/>
          <w14:cntxtAlts/>
        </w:rPr>
        <w:lastRenderedPageBreak/>
        <w:t>VII</w:t>
      </w:r>
      <w:r w:rsidR="005A282D">
        <w:rPr>
          <w:rFonts w:ascii="Garamond" w:eastAsia="MS Mincho" w:hAnsi="Garamond"/>
          <w:b/>
          <w:color w:val="000000"/>
          <w:kern w:val="28"/>
          <w14:ligatures w14:val="standard"/>
          <w14:cntxtAlts/>
        </w:rPr>
        <w:t xml:space="preserve">. </w:t>
      </w:r>
      <w:r w:rsidR="005A282D" w:rsidRPr="005A282D">
        <w:rPr>
          <w:rFonts w:ascii="Garamond" w:eastAsia="MS Mincho" w:hAnsi="Garamond"/>
          <w:color w:val="000000"/>
          <w:kern w:val="28"/>
          <w14:ligatures w14:val="standard"/>
          <w14:cntxtAlts/>
        </w:rPr>
        <w:t>3 classmates and their ideas that I made me rethink my position, articulated my views well, or were particularly impressive in their thoughtfulness. Who presented it and what or why did you like about their argument?</w:t>
      </w:r>
      <w:r w:rsidR="005A282D" w:rsidRPr="004C0FDE">
        <w:rPr>
          <w:rFonts w:ascii="Garamond" w:eastAsia="MS Mincho" w:hAnsi="Garamond"/>
          <w:b/>
          <w:color w:val="000000"/>
          <w:kern w:val="28"/>
          <w14:ligatures w14:val="standard"/>
          <w14:cntxtAlts/>
        </w:rPr>
        <w:t xml:space="preserve"> </w:t>
      </w:r>
      <w:r w:rsidR="005A282D" w:rsidRPr="004C0FDE">
        <w:rPr>
          <w:rFonts w:ascii="Garamond" w:eastAsia="MS Mincho" w:hAnsi="Garamond"/>
          <w:b/>
          <w:color w:val="000000"/>
          <w:kern w:val="28"/>
          <w14:ligatures w14:val="standard"/>
          <w14:cntxtAlts/>
        </w:rPr>
        <w:br/>
      </w:r>
      <w:r w:rsidR="005A282D" w:rsidRPr="004C0FDE">
        <w:rPr>
          <w:rFonts w:ascii="Garamond" w:eastAsia="MS Mincho" w:hAnsi="Garamond"/>
          <w:b/>
          <w:color w:val="000000"/>
          <w:kern w:val="28"/>
          <w14:ligatures w14:val="standard"/>
          <w14:cntxtAlts/>
        </w:rPr>
        <w:tab/>
        <w:t xml:space="preserve">                </w:t>
      </w:r>
      <w:r w:rsidR="005A282D" w:rsidRPr="005A282D">
        <w:rPr>
          <w:rFonts w:ascii="Garamond" w:eastAsia="MS Mincho" w:hAnsi="Garamond"/>
          <w:color w:val="000000"/>
          <w:kern w:val="28"/>
          <w14:ligatures w14:val="standard"/>
          <w14:cntxtAlts/>
        </w:rPr>
        <w:t>(</w:t>
      </w:r>
      <w:r w:rsidR="005A282D" w:rsidRPr="005A282D">
        <w:rPr>
          <w:rFonts w:ascii="Garamond" w:hAnsi="Garamond" w:cstheme="minorHAnsi"/>
        </w:rPr>
        <w:t>if not present, what do your parents, peers, coworkers, etc. say about this issue)</w:t>
      </w:r>
    </w:p>
    <w:p w:rsidR="005A282D" w:rsidRDefault="005A282D" w:rsidP="004271A1">
      <w:pPr>
        <w:rPr>
          <w:rFonts w:ascii="Garamond" w:eastAsia="MS Mincho" w:hAnsi="Garamond"/>
          <w:b/>
          <w:color w:val="000000"/>
          <w:kern w:val="28"/>
          <w14:ligatures w14:val="standard"/>
          <w14:cntxtAlts/>
        </w:rPr>
      </w:pPr>
      <w:r>
        <w:rPr>
          <w:rFonts w:ascii="Garamond" w:eastAsia="MS Mincho" w:hAnsi="Garamond"/>
          <w:b/>
          <w:color w:val="000000"/>
          <w:kern w:val="28"/>
          <w:sz w:val="12"/>
          <w:szCs w:val="12"/>
          <w14:ligatures w14:val="standard"/>
          <w14:cntxtAlts/>
        </w:rPr>
        <w:br/>
      </w:r>
      <w:r w:rsidRPr="004C0FDE">
        <w:rPr>
          <w:rFonts w:ascii="Garamond" w:eastAsia="MS Mincho" w:hAnsi="Garamond"/>
          <w:b/>
          <w:color w:val="000000"/>
          <w:kern w:val="28"/>
          <w14:ligatures w14:val="standard"/>
          <w14:cntxtAlts/>
        </w:rPr>
        <w:t>1. ____</w:t>
      </w:r>
      <w:r>
        <w:rPr>
          <w:rFonts w:ascii="Garamond" w:eastAsia="MS Mincho" w:hAnsi="Garamond"/>
          <w:b/>
          <w:color w:val="000000"/>
          <w:kern w:val="28"/>
          <w14:ligatures w14:val="standard"/>
          <w14:cntxtAlts/>
        </w:rPr>
        <w:t>____</w:t>
      </w:r>
      <w:r w:rsidRPr="004C0FDE">
        <w:rPr>
          <w:rFonts w:ascii="Garamond" w:eastAsia="MS Mincho" w:hAnsi="Garamond"/>
          <w:b/>
          <w:color w:val="000000"/>
          <w:kern w:val="28"/>
          <w14:ligatures w14:val="standard"/>
          <w14:cntxtAlts/>
        </w:rPr>
        <w:t>__________________________________________________________</w:t>
      </w:r>
      <w:r>
        <w:rPr>
          <w:rFonts w:ascii="Garamond" w:eastAsia="MS Mincho" w:hAnsi="Garamond"/>
          <w:b/>
          <w:color w:val="000000"/>
          <w:kern w:val="28"/>
          <w14:ligatures w14:val="standard"/>
          <w14:cntxtAlts/>
        </w:rPr>
        <w:t>_______________________</w:t>
      </w:r>
    </w:p>
    <w:p w:rsidR="005A282D" w:rsidRPr="004C0FDE" w:rsidRDefault="005A282D" w:rsidP="004271A1">
      <w:pPr>
        <w:rPr>
          <w:rFonts w:ascii="Garamond" w:eastAsia="MS Mincho" w:hAnsi="Garamond"/>
          <w:b/>
          <w:color w:val="000000"/>
          <w:kern w:val="28"/>
          <w14:ligatures w14:val="standard"/>
          <w14:cntxtAlts/>
        </w:rPr>
      </w:pPr>
      <w:r w:rsidRPr="004C0FDE">
        <w:rPr>
          <w:rFonts w:ascii="Garamond" w:eastAsia="MS Mincho" w:hAnsi="Garamond"/>
          <w:b/>
          <w:color w:val="000000"/>
          <w:kern w:val="28"/>
          <w14:ligatures w14:val="standard"/>
          <w14:cntxtAlts/>
        </w:rPr>
        <w:t>______________________________________________________________________</w:t>
      </w:r>
      <w:r>
        <w:rPr>
          <w:rFonts w:ascii="Garamond" w:eastAsia="MS Mincho" w:hAnsi="Garamond"/>
          <w:b/>
          <w:color w:val="000000"/>
          <w:kern w:val="28"/>
          <w14:ligatures w14:val="standard"/>
          <w14:cntxtAlts/>
        </w:rPr>
        <w:t>_____________________</w:t>
      </w:r>
      <w:r w:rsidRPr="004C0FDE">
        <w:rPr>
          <w:rFonts w:ascii="Garamond" w:eastAsia="MS Mincho" w:hAnsi="Garamond"/>
          <w:b/>
          <w:color w:val="000000"/>
          <w:kern w:val="28"/>
          <w14:ligatures w14:val="standard"/>
          <w14:cntxtAlts/>
        </w:rPr>
        <w:br/>
        <w:t>_____________________________________________________________________</w:t>
      </w:r>
      <w:r>
        <w:rPr>
          <w:rFonts w:ascii="Garamond" w:eastAsia="MS Mincho" w:hAnsi="Garamond"/>
          <w:b/>
          <w:color w:val="000000"/>
          <w:kern w:val="28"/>
          <w14:ligatures w14:val="standard"/>
          <w14:cntxtAlts/>
        </w:rPr>
        <w:t>______________________</w:t>
      </w:r>
    </w:p>
    <w:p w:rsidR="005A282D" w:rsidRDefault="004271A1" w:rsidP="004271A1">
      <w:pPr>
        <w:rPr>
          <w:rFonts w:ascii="Garamond" w:eastAsia="MS Mincho" w:hAnsi="Garamond"/>
          <w:b/>
          <w:color w:val="000000"/>
          <w:kern w:val="28"/>
          <w14:ligatures w14:val="standard"/>
          <w14:cntxtAlts/>
        </w:rPr>
      </w:pPr>
      <w:r>
        <w:rPr>
          <w:rFonts w:ascii="Garamond" w:eastAsia="MS Mincho" w:hAnsi="Garamond"/>
          <w:b/>
          <w:color w:val="000000"/>
          <w:kern w:val="28"/>
          <w:sz w:val="8"/>
          <w:szCs w:val="8"/>
          <w14:ligatures w14:val="standard"/>
          <w14:cntxtAlts/>
        </w:rPr>
        <w:br/>
      </w:r>
      <w:r>
        <w:rPr>
          <w:rFonts w:ascii="Garamond" w:eastAsia="MS Mincho" w:hAnsi="Garamond"/>
          <w:b/>
          <w:color w:val="000000"/>
          <w:kern w:val="28"/>
          <w:sz w:val="8"/>
          <w:szCs w:val="8"/>
          <w14:ligatures w14:val="standard"/>
          <w14:cntxtAlts/>
        </w:rPr>
        <w:br/>
      </w:r>
      <w:r w:rsidR="005A282D">
        <w:rPr>
          <w:rFonts w:ascii="Garamond" w:eastAsia="MS Mincho" w:hAnsi="Garamond"/>
          <w:b/>
          <w:color w:val="000000"/>
          <w:kern w:val="28"/>
          <w14:ligatures w14:val="standard"/>
          <w14:cntxtAlts/>
        </w:rPr>
        <w:t xml:space="preserve">2. </w:t>
      </w:r>
      <w:r w:rsidR="005A282D" w:rsidRPr="004C0FDE">
        <w:rPr>
          <w:rFonts w:ascii="Garamond" w:eastAsia="MS Mincho" w:hAnsi="Garamond"/>
          <w:b/>
          <w:color w:val="000000"/>
          <w:kern w:val="28"/>
          <w14:ligatures w14:val="standard"/>
          <w14:cntxtAlts/>
        </w:rPr>
        <w:t>____</w:t>
      </w:r>
      <w:r w:rsidR="005A282D">
        <w:rPr>
          <w:rFonts w:ascii="Garamond" w:eastAsia="MS Mincho" w:hAnsi="Garamond"/>
          <w:b/>
          <w:color w:val="000000"/>
          <w:kern w:val="28"/>
          <w14:ligatures w14:val="standard"/>
          <w14:cntxtAlts/>
        </w:rPr>
        <w:t>____</w:t>
      </w:r>
      <w:r w:rsidR="005A282D" w:rsidRPr="004C0FDE">
        <w:rPr>
          <w:rFonts w:ascii="Garamond" w:eastAsia="MS Mincho" w:hAnsi="Garamond"/>
          <w:b/>
          <w:color w:val="000000"/>
          <w:kern w:val="28"/>
          <w14:ligatures w14:val="standard"/>
          <w14:cntxtAlts/>
        </w:rPr>
        <w:t>__________________________________________________________</w:t>
      </w:r>
      <w:r w:rsidR="005A282D">
        <w:rPr>
          <w:rFonts w:ascii="Garamond" w:eastAsia="MS Mincho" w:hAnsi="Garamond"/>
          <w:b/>
          <w:color w:val="000000"/>
          <w:kern w:val="28"/>
          <w14:ligatures w14:val="standard"/>
          <w14:cntxtAlts/>
        </w:rPr>
        <w:t>_______________________</w:t>
      </w:r>
    </w:p>
    <w:p w:rsidR="005A282D" w:rsidRPr="004C0FDE" w:rsidRDefault="005A282D" w:rsidP="004271A1">
      <w:pPr>
        <w:rPr>
          <w:rFonts w:ascii="Garamond" w:eastAsia="MS Mincho" w:hAnsi="Garamond"/>
          <w:b/>
          <w:color w:val="000000"/>
          <w:kern w:val="28"/>
          <w14:ligatures w14:val="standard"/>
          <w14:cntxtAlts/>
        </w:rPr>
      </w:pPr>
      <w:r w:rsidRPr="004C0FDE">
        <w:rPr>
          <w:rFonts w:ascii="Garamond" w:eastAsia="MS Mincho" w:hAnsi="Garamond"/>
          <w:b/>
          <w:color w:val="000000"/>
          <w:kern w:val="28"/>
          <w14:ligatures w14:val="standard"/>
          <w14:cntxtAlts/>
        </w:rPr>
        <w:t>______________________________________________________________________</w:t>
      </w:r>
      <w:r>
        <w:rPr>
          <w:rFonts w:ascii="Garamond" w:eastAsia="MS Mincho" w:hAnsi="Garamond"/>
          <w:b/>
          <w:color w:val="000000"/>
          <w:kern w:val="28"/>
          <w14:ligatures w14:val="standard"/>
          <w14:cntxtAlts/>
        </w:rPr>
        <w:t>_____________________</w:t>
      </w:r>
      <w:r w:rsidRPr="004C0FDE">
        <w:rPr>
          <w:rFonts w:ascii="Garamond" w:eastAsia="MS Mincho" w:hAnsi="Garamond"/>
          <w:b/>
          <w:color w:val="000000"/>
          <w:kern w:val="28"/>
          <w14:ligatures w14:val="standard"/>
          <w14:cntxtAlts/>
        </w:rPr>
        <w:br/>
        <w:t>_____________________________________________________________________</w:t>
      </w:r>
      <w:r>
        <w:rPr>
          <w:rFonts w:ascii="Garamond" w:eastAsia="MS Mincho" w:hAnsi="Garamond"/>
          <w:b/>
          <w:color w:val="000000"/>
          <w:kern w:val="28"/>
          <w14:ligatures w14:val="standard"/>
          <w14:cntxtAlts/>
        </w:rPr>
        <w:t>______________________</w:t>
      </w:r>
    </w:p>
    <w:p w:rsidR="005A282D" w:rsidRDefault="004271A1" w:rsidP="004271A1">
      <w:pPr>
        <w:rPr>
          <w:rFonts w:ascii="Garamond" w:eastAsia="MS Mincho" w:hAnsi="Garamond"/>
          <w:b/>
          <w:color w:val="000000"/>
          <w:kern w:val="28"/>
          <w14:ligatures w14:val="standard"/>
          <w14:cntxtAlts/>
        </w:rPr>
      </w:pPr>
      <w:r>
        <w:rPr>
          <w:rFonts w:ascii="Garamond" w:eastAsia="MS Mincho" w:hAnsi="Garamond"/>
          <w:b/>
          <w:color w:val="000000"/>
          <w:kern w:val="28"/>
          <w:sz w:val="16"/>
          <w:szCs w:val="16"/>
          <w14:ligatures w14:val="standard"/>
          <w14:cntxtAlts/>
        </w:rPr>
        <w:br/>
      </w:r>
      <w:r w:rsidR="005A282D">
        <w:rPr>
          <w:rFonts w:ascii="Garamond" w:eastAsia="MS Mincho" w:hAnsi="Garamond"/>
          <w:b/>
          <w:color w:val="000000"/>
          <w:kern w:val="28"/>
          <w14:ligatures w14:val="standard"/>
          <w14:cntxtAlts/>
        </w:rPr>
        <w:t xml:space="preserve">3. </w:t>
      </w:r>
      <w:r w:rsidR="005A282D" w:rsidRPr="004C0FDE">
        <w:rPr>
          <w:rFonts w:ascii="Garamond" w:eastAsia="MS Mincho" w:hAnsi="Garamond"/>
          <w:b/>
          <w:color w:val="000000"/>
          <w:kern w:val="28"/>
          <w14:ligatures w14:val="standard"/>
          <w14:cntxtAlts/>
        </w:rPr>
        <w:t>____</w:t>
      </w:r>
      <w:r w:rsidR="005A282D">
        <w:rPr>
          <w:rFonts w:ascii="Garamond" w:eastAsia="MS Mincho" w:hAnsi="Garamond"/>
          <w:b/>
          <w:color w:val="000000"/>
          <w:kern w:val="28"/>
          <w14:ligatures w14:val="standard"/>
          <w14:cntxtAlts/>
        </w:rPr>
        <w:t>____</w:t>
      </w:r>
      <w:r w:rsidR="005A282D" w:rsidRPr="004C0FDE">
        <w:rPr>
          <w:rFonts w:ascii="Garamond" w:eastAsia="MS Mincho" w:hAnsi="Garamond"/>
          <w:b/>
          <w:color w:val="000000"/>
          <w:kern w:val="28"/>
          <w14:ligatures w14:val="standard"/>
          <w14:cntxtAlts/>
        </w:rPr>
        <w:t>__________________________________________________________</w:t>
      </w:r>
      <w:r w:rsidR="005A282D">
        <w:rPr>
          <w:rFonts w:ascii="Garamond" w:eastAsia="MS Mincho" w:hAnsi="Garamond"/>
          <w:b/>
          <w:color w:val="000000"/>
          <w:kern w:val="28"/>
          <w14:ligatures w14:val="standard"/>
          <w14:cntxtAlts/>
        </w:rPr>
        <w:t>_______________________</w:t>
      </w:r>
    </w:p>
    <w:p w:rsidR="005A282D" w:rsidRPr="004C0FDE" w:rsidRDefault="005A282D" w:rsidP="004271A1">
      <w:pPr>
        <w:rPr>
          <w:rFonts w:ascii="Garamond" w:eastAsia="MS Mincho" w:hAnsi="Garamond"/>
          <w:b/>
          <w:color w:val="000000"/>
          <w:kern w:val="28"/>
          <w14:ligatures w14:val="standard"/>
          <w14:cntxtAlts/>
        </w:rPr>
      </w:pPr>
      <w:r w:rsidRPr="004C0FDE">
        <w:rPr>
          <w:rFonts w:ascii="Garamond" w:eastAsia="MS Mincho" w:hAnsi="Garamond"/>
          <w:b/>
          <w:color w:val="000000"/>
          <w:kern w:val="28"/>
          <w14:ligatures w14:val="standard"/>
          <w14:cntxtAlts/>
        </w:rPr>
        <w:t>______________________________________________________________________</w:t>
      </w:r>
      <w:r>
        <w:rPr>
          <w:rFonts w:ascii="Garamond" w:eastAsia="MS Mincho" w:hAnsi="Garamond"/>
          <w:b/>
          <w:color w:val="000000"/>
          <w:kern w:val="28"/>
          <w14:ligatures w14:val="standard"/>
          <w14:cntxtAlts/>
        </w:rPr>
        <w:t>_____________________</w:t>
      </w:r>
      <w:r w:rsidRPr="004C0FDE">
        <w:rPr>
          <w:rFonts w:ascii="Garamond" w:eastAsia="MS Mincho" w:hAnsi="Garamond"/>
          <w:b/>
          <w:color w:val="000000"/>
          <w:kern w:val="28"/>
          <w14:ligatures w14:val="standard"/>
          <w14:cntxtAlts/>
        </w:rPr>
        <w:br/>
        <w:t>_____________________________________________________________________</w:t>
      </w:r>
      <w:r>
        <w:rPr>
          <w:rFonts w:ascii="Garamond" w:eastAsia="MS Mincho" w:hAnsi="Garamond"/>
          <w:b/>
          <w:color w:val="000000"/>
          <w:kern w:val="28"/>
          <w14:ligatures w14:val="standard"/>
          <w14:cntxtAlts/>
        </w:rPr>
        <w:t>______________________</w:t>
      </w:r>
    </w:p>
    <w:p w:rsidR="00BF4584" w:rsidRPr="00BF4584" w:rsidRDefault="005A282D" w:rsidP="004271A1">
      <w:pPr>
        <w:pStyle w:val="NoSpacing"/>
        <w:rPr>
          <w:rFonts w:eastAsia="Calibri"/>
          <w:b/>
          <w:color w:val="000000"/>
          <w:kern w:val="28"/>
          <w14:ligatures w14:val="standard"/>
          <w14:cntxtAlts/>
        </w:rPr>
      </w:pPr>
      <w:r>
        <w:rPr>
          <w:rFonts w:ascii="Garamond" w:eastAsia="Times New Roman" w:hAnsi="Garamond" w:cs="Times New Roman"/>
          <w:b/>
          <w:sz w:val="12"/>
          <w:szCs w:val="12"/>
        </w:rPr>
        <w:br/>
      </w:r>
      <w:r w:rsidR="004271A1">
        <w:rPr>
          <w:rFonts w:ascii="Garamond" w:eastAsia="Times New Roman" w:hAnsi="Garamond" w:cs="Times New Roman"/>
          <w:b/>
          <w:sz w:val="24"/>
          <w:szCs w:val="24"/>
        </w:rPr>
        <w:br/>
        <w:t>VIII</w:t>
      </w:r>
      <w:r>
        <w:rPr>
          <w:rFonts w:ascii="Garamond" w:eastAsia="Times New Roman" w:hAnsi="Garamond" w:cs="Times New Roman"/>
          <w:b/>
          <w:sz w:val="24"/>
          <w:szCs w:val="24"/>
        </w:rPr>
        <w:t xml:space="preserve">. </w:t>
      </w:r>
      <w:r w:rsidRPr="004C0FDE">
        <w:rPr>
          <w:rFonts w:ascii="Garamond" w:eastAsia="Times New Roman" w:hAnsi="Garamond" w:cs="Times New Roman"/>
          <w:b/>
          <w:sz w:val="24"/>
          <w:szCs w:val="24"/>
        </w:rPr>
        <w:t xml:space="preserve">What I said in the discussion today </w:t>
      </w:r>
      <w:r w:rsidRPr="004C0FDE">
        <w:rPr>
          <w:rFonts w:ascii="Garamond" w:eastAsia="Times New Roman" w:hAnsi="Garamond" w:cs="Times New Roman"/>
          <w:b/>
          <w:sz w:val="24"/>
          <w:szCs w:val="24"/>
          <w:u w:val="single"/>
        </w:rPr>
        <w:t>OR</w:t>
      </w:r>
      <w:r w:rsidRPr="004C0FDE">
        <w:rPr>
          <w:rFonts w:ascii="Garamond" w:eastAsia="Times New Roman" w:hAnsi="Garamond" w:cs="Times New Roman"/>
          <w:b/>
          <w:sz w:val="24"/>
          <w:szCs w:val="24"/>
        </w:rPr>
        <w:t xml:space="preserve"> what I would have said if I had spoken?  </w:t>
      </w:r>
      <w:r>
        <w:rPr>
          <w:rFonts w:ascii="Garamond" w:eastAsia="Times New Roman" w:hAnsi="Garamond" w:cs="Times New Roman"/>
          <w:b/>
          <w:sz w:val="12"/>
          <w:szCs w:val="12"/>
        </w:rPr>
        <w:br/>
      </w:r>
      <w:r>
        <w:rPr>
          <w:rFonts w:ascii="Garamond" w:eastAsia="Times New Roman" w:hAnsi="Garamond" w:cs="Times New Roman"/>
          <w:b/>
          <w:sz w:val="12"/>
          <w:szCs w:val="12"/>
        </w:rPr>
        <w:br/>
      </w:r>
      <w:r w:rsidR="004271A1" w:rsidRPr="004C0FDE">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71A1">
        <w:rPr>
          <w:rFonts w:ascii="Garamond" w:eastAsia="MS Mincho" w:hAnsi="Garamond"/>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4584">
        <w:rPr>
          <w:b/>
        </w:rPr>
        <w:br/>
      </w:r>
      <w:r w:rsidR="00BF4584">
        <w:rPr>
          <w:b/>
          <w:sz w:val="16"/>
          <w:szCs w:val="16"/>
        </w:rPr>
        <w:br/>
      </w:r>
      <w:r w:rsidR="004271A1">
        <w:rPr>
          <w:rFonts w:ascii="Garamond" w:hAnsi="Garamond"/>
          <w:b/>
          <w:sz w:val="24"/>
          <w:szCs w:val="24"/>
        </w:rPr>
        <w:br/>
      </w:r>
      <w:r w:rsidR="004271A1" w:rsidRPr="004271A1">
        <w:rPr>
          <w:rFonts w:ascii="Garamond" w:hAnsi="Garamond"/>
          <w:b/>
          <w:sz w:val="24"/>
          <w:szCs w:val="24"/>
        </w:rPr>
        <w:t>I</w:t>
      </w:r>
      <w:r w:rsidR="00BF4584" w:rsidRPr="004271A1">
        <w:rPr>
          <w:rFonts w:ascii="Garamond" w:hAnsi="Garamond"/>
          <w:b/>
          <w:sz w:val="24"/>
          <w:szCs w:val="24"/>
        </w:rPr>
        <w:t xml:space="preserve">X. </w:t>
      </w:r>
      <w:r w:rsidR="009545DD" w:rsidRPr="004271A1">
        <w:rPr>
          <w:rFonts w:ascii="Garamond" w:hAnsi="Garamond"/>
          <w:b/>
          <w:sz w:val="24"/>
          <w:szCs w:val="24"/>
        </w:rPr>
        <w:t>Did your group come to a consensus?  If not, why not? If so, what did your group decide?</w:t>
      </w:r>
      <w:r w:rsidR="00BF4584">
        <w:rPr>
          <w:b/>
        </w:rPr>
        <w:br/>
      </w:r>
      <w:r w:rsidR="00BF4584" w:rsidRPr="000B7F4B">
        <w:t>________________________________________________________________________________________</w:t>
      </w:r>
      <w:r w:rsidR="00BF45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71A1">
        <w:t>_______________________________________________________________________________________________________________________________________________________</w:t>
      </w:r>
      <w:r w:rsidR="004271A1">
        <w:br/>
      </w:r>
      <w:r w:rsidR="00BF4584">
        <w:rPr>
          <w:b/>
        </w:rPr>
        <w:br/>
      </w:r>
      <w:r w:rsidR="00BF4584">
        <w:rPr>
          <w:b/>
          <w:sz w:val="16"/>
          <w:szCs w:val="16"/>
        </w:rPr>
        <w:br/>
      </w:r>
      <w:r w:rsidR="00BF4584">
        <w:rPr>
          <w:rFonts w:eastAsia="Calibri"/>
          <w:b/>
          <w:color w:val="000000"/>
          <w:kern w:val="28"/>
          <w:sz w:val="12"/>
          <w:szCs w:val="12"/>
          <w14:ligatures w14:val="standard"/>
          <w14:cntxtAlts/>
        </w:rPr>
        <w:br/>
      </w:r>
      <w:r w:rsidR="00BF4584" w:rsidRPr="00BF4584">
        <w:rPr>
          <w:rFonts w:eastAsia="Calibri"/>
          <w:b/>
          <w:color w:val="000000"/>
          <w:kern w:val="28"/>
          <w14:ligatures w14:val="standard"/>
          <w14:cntxtAlts/>
        </w:rPr>
        <w:t>X. What I Learned Through this Class Assignment</w:t>
      </w:r>
      <w:r w:rsidR="00BF4584">
        <w:rPr>
          <w:rFonts w:eastAsia="Calibri"/>
          <w:b/>
          <w:color w:val="000000"/>
          <w:kern w:val="28"/>
          <w14:ligatures w14:val="standard"/>
          <w14:cntxtAlts/>
        </w:rPr>
        <w:t>/</w:t>
      </w:r>
      <w:r w:rsidR="00BF4584" w:rsidRPr="00BF4584">
        <w:rPr>
          <w:rFonts w:eastAsia="Calibri"/>
          <w:color w:val="000000"/>
          <w:kern w:val="28"/>
          <w14:ligatures w14:val="standard"/>
          <w14:cntxtAlts/>
        </w:rPr>
        <w:t xml:space="preserve">Which number best describes the value you found in this exercise? </w:t>
      </w:r>
    </w:p>
    <w:p w:rsidR="00965F6B" w:rsidRPr="00BF3A10" w:rsidRDefault="00965F6B" w:rsidP="00BF4584">
      <w:pPr>
        <w:jc w:val="center"/>
        <w:rPr>
          <w:rFonts w:eastAsia="Calibri"/>
          <w:color w:val="000000"/>
          <w:kern w:val="28"/>
          <w14:ligatures w14:val="standard"/>
          <w14:cntxtAlts/>
        </w:rPr>
      </w:pPr>
      <w:r w:rsidRPr="00BF3A10">
        <w:rPr>
          <w:rFonts w:ascii="Calibri" w:eastAsia="Calibri" w:hAnsi="Calibri"/>
          <w:noProof/>
          <w:color w:val="000000"/>
          <w:kern w:val="28"/>
          <w14:ligatures w14:val="standard"/>
          <w14:cntxtAlts/>
        </w:rPr>
        <mc:AlternateContent>
          <mc:Choice Requires="wpg">
            <w:drawing>
              <wp:anchor distT="0" distB="0" distL="114300" distR="114300" simplePos="0" relativeHeight="251663360" behindDoc="0" locked="0" layoutInCell="1" allowOverlap="1" wp14:anchorId="6AC3B28F" wp14:editId="70A5FFA6">
                <wp:simplePos x="0" y="0"/>
                <wp:positionH relativeFrom="column">
                  <wp:posOffset>990600</wp:posOffset>
                </wp:positionH>
                <wp:positionV relativeFrom="paragraph">
                  <wp:posOffset>65405</wp:posOffset>
                </wp:positionV>
                <wp:extent cx="5086350" cy="314325"/>
                <wp:effectExtent l="38100" t="0" r="38100" b="1047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314325"/>
                          <a:chOff x="1680" y="10770"/>
                          <a:chExt cx="6825" cy="495"/>
                        </a:xfrm>
                      </wpg:grpSpPr>
                      <wps:wsp>
                        <wps:cNvPr id="3" name="AutoShape 3"/>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1680" y="10770"/>
                            <a:ext cx="682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6B" w:rsidRDefault="00965F6B" w:rsidP="00965F6B">
                              <w:r>
                                <w:t xml:space="preserve">   1</w:t>
                              </w:r>
                              <w:r>
                                <w:tab/>
                                <w:t xml:space="preserve">              2</w:t>
                              </w:r>
                              <w:r>
                                <w:tab/>
                                <w:t xml:space="preserve">                  3</w:t>
                              </w:r>
                              <w:r>
                                <w:tab/>
                                <w:t xml:space="preserve">                4 </w:t>
                              </w:r>
                              <w:r>
                                <w:tab/>
                                <w:t xml:space="preserve">            5</w:t>
                              </w:r>
                              <w:r>
                                <w:tab/>
                                <w:t xml:space="preserve">               6                 7         7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3B28F" id="Group 1" o:spid="_x0000_s1026" style="position:absolute;left:0;text-align:left;margin-left:78pt;margin-top:5.15pt;width:400.5pt;height:24.75pt;z-index:251663360" coordorigin="1680,10770" coordsize="68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">
                <v:shapetype id="_x0000_t32" coordsize="21600,21600" o:spt="32" o:oned="t" path="m,l21600,21600e" filled="f">
                  <v:path arrowok="t" fillok="f" o:connecttype="none"/>
                  <o:lock v:ext="edit" shapetype="t"/>
                </v:shapetype>
                <v:shape id="AutoShape 3" o:spid="_x0000_s1027"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MSxAAAANoAAAAPAAAAZHJzL2Rvd25yZXYueG1sRI9Ba8JA&#10;FITvBf/D8gre6sZK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HHx4xLEAAAA2gAAAA8A&#10;AAAAAAAAAAAAAAAABwIAAGRycy9kb3ducmV2LnhtbFBLBQYAAAAAAwADALcAAAD4AgAAAAA=&#10;">
                  <v:stroke startarrow="block" endarrow="block"/>
                </v:shape>
                <v:shapetype id="_x0000_t202" coordsize="21600,21600" o:spt="202" path="m,l,21600r21600,l21600,xe">
                  <v:stroke joinstyle="miter"/>
                  <v:path gradientshapeok="t" o:connecttype="rect"/>
                </v:shapetype>
                <v:shape id="_x0000_s1028" type="#_x0000_t202" style="position:absolute;left:1680;top:10770;width:68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965F6B" w:rsidRDefault="00965F6B" w:rsidP="00965F6B">
                        <w:r>
                          <w:t xml:space="preserve">   1</w:t>
                        </w:r>
                        <w:r>
                          <w:tab/>
                          <w:t xml:space="preserve">              2</w:t>
                        </w:r>
                        <w:r>
                          <w:tab/>
                          <w:t xml:space="preserve">                  3</w:t>
                        </w:r>
                        <w:r>
                          <w:tab/>
                          <w:t xml:space="preserve">                4 </w:t>
                        </w:r>
                        <w:r>
                          <w:tab/>
                          <w:t xml:space="preserve">            5</w:t>
                        </w:r>
                        <w:r>
                          <w:tab/>
                          <w:t xml:space="preserve">               6                 7         7</w:t>
                        </w:r>
                      </w:p>
                    </w:txbxContent>
                  </v:textbox>
                </v:shape>
              </v:group>
            </w:pict>
          </mc:Fallback>
        </mc:AlternateContent>
      </w:r>
      <w:r w:rsidRPr="00BF3A10">
        <w:rPr>
          <w:rFonts w:ascii="Calibri" w:eastAsia="Calibri" w:hAnsi="Calibri"/>
          <w:noProof/>
          <w:color w:val="000000"/>
          <w:kern w:val="28"/>
          <w14:ligatures w14:val="standard"/>
          <w14:cntxtAlts/>
        </w:rPr>
        <mc:AlternateContent>
          <mc:Choice Requires="wps">
            <w:drawing>
              <wp:anchor distT="0" distB="0" distL="114300" distR="114300" simplePos="0" relativeHeight="251665408" behindDoc="0" locked="0" layoutInCell="1" allowOverlap="1" wp14:anchorId="2B4D6C22" wp14:editId="543A0C52">
                <wp:simplePos x="0" y="0"/>
                <wp:positionH relativeFrom="column">
                  <wp:posOffset>-161926</wp:posOffset>
                </wp:positionH>
                <wp:positionV relativeFrom="paragraph">
                  <wp:posOffset>74930</wp:posOffset>
                </wp:positionV>
                <wp:extent cx="1152525" cy="315849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5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6B" w:rsidRPr="00D91BC5" w:rsidRDefault="00965F6B" w:rsidP="00965F6B">
                            <w:pPr>
                              <w:pStyle w:val="NoSpacing"/>
                              <w:rPr>
                                <w:sz w:val="20"/>
                                <w:szCs w:val="20"/>
                              </w:rPr>
                            </w:pPr>
                            <w:r>
                              <w:rPr>
                                <w:sz w:val="20"/>
                                <w:szCs w:val="20"/>
                              </w:rPr>
                              <w:t>NO</w:t>
                            </w:r>
                            <w:r w:rsidRPr="00D91BC5">
                              <w:rPr>
                                <w:sz w:val="20"/>
                                <w:szCs w:val="20"/>
                              </w:rPr>
                              <w:t xml:space="preserve"> DEEPER</w:t>
                            </w:r>
                          </w:p>
                          <w:p w:rsidR="00965F6B" w:rsidRPr="00D91BC5" w:rsidRDefault="00965F6B" w:rsidP="00965F6B">
                            <w:pPr>
                              <w:pStyle w:val="NoSpacing"/>
                              <w:rPr>
                                <w:sz w:val="20"/>
                                <w:szCs w:val="20"/>
                              </w:rPr>
                            </w:pPr>
                            <w:r w:rsidRPr="00D91BC5">
                              <w:rPr>
                                <w:sz w:val="20"/>
                                <w:szCs w:val="20"/>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4D6C22" id="Text Box 6" o:spid="_x0000_s1029" type="#_x0000_t202" style="position:absolute;left:0;text-align:left;margin-left:-12.75pt;margin-top:5.9pt;width:90.75pt;height:24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" stroked="f">
                <v:textbox style="mso-fit-shape-to-text:t">
                  <w:txbxContent>
                    <w:p w:rsidR="00965F6B" w:rsidRPr="00D91BC5" w:rsidRDefault="00965F6B" w:rsidP="00965F6B">
                      <w:pPr>
                        <w:pStyle w:val="NoSpacing"/>
                        <w:rPr>
                          <w:sz w:val="20"/>
                          <w:szCs w:val="20"/>
                        </w:rPr>
                      </w:pPr>
                      <w:r>
                        <w:rPr>
                          <w:sz w:val="20"/>
                          <w:szCs w:val="20"/>
                        </w:rPr>
                        <w:t>NO</w:t>
                      </w:r>
                      <w:r w:rsidRPr="00D91BC5">
                        <w:rPr>
                          <w:sz w:val="20"/>
                          <w:szCs w:val="20"/>
                        </w:rPr>
                        <w:t xml:space="preserve"> DEEPER</w:t>
                      </w:r>
                    </w:p>
                    <w:p w:rsidR="00965F6B" w:rsidRPr="00D91BC5" w:rsidRDefault="00965F6B" w:rsidP="00965F6B">
                      <w:pPr>
                        <w:pStyle w:val="NoSpacing"/>
                        <w:rPr>
                          <w:sz w:val="20"/>
                          <w:szCs w:val="20"/>
                        </w:rPr>
                      </w:pPr>
                      <w:r w:rsidRPr="00D91BC5">
                        <w:rPr>
                          <w:sz w:val="20"/>
                          <w:szCs w:val="20"/>
                        </w:rPr>
                        <w:t>UNDERSTANDING</w:t>
                      </w:r>
                    </w:p>
                  </w:txbxContent>
                </v:textbox>
              </v:shape>
            </w:pict>
          </mc:Fallback>
        </mc:AlternateContent>
      </w:r>
      <w:r w:rsidRPr="00BF3A10">
        <w:rPr>
          <w:rFonts w:ascii="Calibri" w:eastAsia="Calibri" w:hAnsi="Calibri"/>
          <w:noProof/>
          <w:color w:val="000000"/>
          <w:kern w:val="28"/>
          <w14:ligatures w14:val="standard"/>
          <w14:cntxtAlts/>
        </w:rPr>
        <mc:AlternateContent>
          <mc:Choice Requires="wps">
            <w:drawing>
              <wp:anchor distT="0" distB="0" distL="114300" distR="114300" simplePos="0" relativeHeight="251664384" behindDoc="0" locked="0" layoutInCell="1" allowOverlap="1" wp14:anchorId="51F799ED" wp14:editId="22D907C5">
                <wp:simplePos x="0" y="0"/>
                <wp:positionH relativeFrom="margin">
                  <wp:posOffset>6105524</wp:posOffset>
                </wp:positionH>
                <wp:positionV relativeFrom="paragraph">
                  <wp:posOffset>73025</wp:posOffset>
                </wp:positionV>
                <wp:extent cx="1133475" cy="40132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6B" w:rsidRPr="00D91BC5" w:rsidRDefault="00965F6B" w:rsidP="00965F6B">
                            <w:pPr>
                              <w:pStyle w:val="NoSpacing"/>
                              <w:rPr>
                                <w:sz w:val="20"/>
                                <w:szCs w:val="20"/>
                              </w:rPr>
                            </w:pPr>
                            <w:r w:rsidRPr="00D91BC5">
                              <w:rPr>
                                <w:sz w:val="20"/>
                                <w:szCs w:val="20"/>
                              </w:rPr>
                              <w:t>MUCH DEEPER</w:t>
                            </w:r>
                          </w:p>
                          <w:p w:rsidR="00965F6B" w:rsidRPr="00D91BC5" w:rsidRDefault="00965F6B" w:rsidP="00965F6B">
                            <w:pPr>
                              <w:pStyle w:val="NoSpacing"/>
                              <w:rPr>
                                <w:sz w:val="20"/>
                                <w:szCs w:val="20"/>
                              </w:rPr>
                            </w:pPr>
                            <w:r w:rsidRPr="00D91BC5">
                              <w:rPr>
                                <w:sz w:val="20"/>
                                <w:szCs w:val="20"/>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F799ED" id="Text Box 7" o:spid="_x0000_s1030" type="#_x0000_t202" style="position:absolute;left:0;text-align:left;margin-left:480.75pt;margin-top:5.75pt;width:89.25pt;height:31.6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" stroked="f">
                <v:textbox style="mso-fit-shape-to-text:t">
                  <w:txbxContent>
                    <w:p w:rsidR="00965F6B" w:rsidRPr="00D91BC5" w:rsidRDefault="00965F6B" w:rsidP="00965F6B">
                      <w:pPr>
                        <w:pStyle w:val="NoSpacing"/>
                        <w:rPr>
                          <w:sz w:val="20"/>
                          <w:szCs w:val="20"/>
                        </w:rPr>
                      </w:pPr>
                      <w:r w:rsidRPr="00D91BC5">
                        <w:rPr>
                          <w:sz w:val="20"/>
                          <w:szCs w:val="20"/>
                        </w:rPr>
                        <w:t>MUCH DEEPER</w:t>
                      </w:r>
                    </w:p>
                    <w:p w:rsidR="00965F6B" w:rsidRPr="00D91BC5" w:rsidRDefault="00965F6B" w:rsidP="00965F6B">
                      <w:pPr>
                        <w:pStyle w:val="NoSpacing"/>
                        <w:rPr>
                          <w:sz w:val="20"/>
                          <w:szCs w:val="20"/>
                        </w:rPr>
                      </w:pPr>
                      <w:r w:rsidRPr="00D91BC5">
                        <w:rPr>
                          <w:sz w:val="20"/>
                          <w:szCs w:val="20"/>
                        </w:rPr>
                        <w:t>UNDERSTANDING</w:t>
                      </w:r>
                    </w:p>
                  </w:txbxContent>
                </v:textbox>
                <w10:wrap anchorx="margin"/>
              </v:shape>
            </w:pict>
          </mc:Fallback>
        </mc:AlternateContent>
      </w:r>
      <w:r>
        <w:rPr>
          <w:rFonts w:eastAsia="Calibri"/>
          <w:color w:val="000000"/>
          <w:kern w:val="28"/>
          <w14:ligatures w14:val="standard"/>
          <w14:cntxtAlts/>
        </w:rPr>
        <w:tab/>
      </w:r>
    </w:p>
    <w:p w:rsidR="00965F6B" w:rsidRPr="00705FEB" w:rsidRDefault="00965F6B" w:rsidP="00965F6B">
      <w:pPr>
        <w:tabs>
          <w:tab w:val="right" w:pos="180"/>
        </w:tabs>
        <w:spacing w:line="360" w:lineRule="auto"/>
      </w:pPr>
    </w:p>
    <w:p w:rsidR="004271A1" w:rsidRPr="000B7F4B" w:rsidRDefault="00965F6B" w:rsidP="004271A1">
      <w:pPr>
        <w:pStyle w:val="NoSpacing"/>
        <w:rPr>
          <w:rFonts w:ascii="Garamond" w:hAnsi="Garamond" w:cs="Times New Roman"/>
          <w:b/>
          <w:sz w:val="24"/>
          <w:szCs w:val="24"/>
        </w:rPr>
      </w:pPr>
      <w:r>
        <w:rPr>
          <w:rFonts w:ascii="MS Mincho" w:eastAsia="MS Mincho" w:hAnsi="MS Mincho"/>
          <w:color w:val="000000"/>
          <w:kern w:val="28"/>
          <w:sz w:val="12"/>
          <w:szCs w:val="12"/>
          <w14:ligatures w14:val="standard"/>
          <w14:cntxtAlts/>
        </w:rPr>
        <w:br/>
      </w:r>
      <w:r w:rsidR="00BF4584">
        <w:rPr>
          <w:rFonts w:ascii="Garamond" w:eastAsia="MS Mincho" w:hAnsi="Garamond"/>
          <w:b/>
          <w:color w:val="000000"/>
          <w:kern w:val="28"/>
          <w14:ligatures w14:val="standard"/>
          <w14:cntxtAlts/>
        </w:rPr>
        <w:t>X</w:t>
      </w:r>
      <w:r w:rsidR="004271A1">
        <w:rPr>
          <w:rFonts w:ascii="Garamond" w:eastAsia="MS Mincho" w:hAnsi="Garamond"/>
          <w:b/>
          <w:color w:val="000000"/>
          <w:kern w:val="28"/>
          <w14:ligatures w14:val="standard"/>
          <w14:cntxtAlts/>
        </w:rPr>
        <w:t>I</w:t>
      </w:r>
      <w:r w:rsidR="00BF4584">
        <w:rPr>
          <w:rFonts w:ascii="Garamond" w:eastAsia="MS Mincho" w:hAnsi="Garamond"/>
          <w:b/>
          <w:color w:val="000000"/>
          <w:kern w:val="28"/>
          <w14:ligatures w14:val="standard"/>
          <w14:cntxtAlts/>
        </w:rPr>
        <w:t xml:space="preserve">. </w:t>
      </w:r>
      <w:r w:rsidRPr="00E92E6D">
        <w:rPr>
          <w:rFonts w:ascii="Garamond" w:eastAsia="MS Mincho" w:hAnsi="Garamond"/>
          <w:b/>
          <w:color w:val="000000"/>
          <w:kern w:val="28"/>
          <w14:ligatures w14:val="standard"/>
          <w14:cntxtAlts/>
        </w:rPr>
        <w:t>Reason(s) I chose the above Number Include...</w:t>
      </w:r>
      <w:r w:rsidRPr="00E92E6D">
        <w:rPr>
          <w:rFonts w:ascii="Garamond" w:hAnsi="Garamond"/>
          <w:b/>
        </w:rPr>
        <w:t xml:space="preserve"> What I like/did not like about the class deliberation include(s)…</w:t>
      </w:r>
      <w:r w:rsidRPr="00E92E6D">
        <w:rPr>
          <w:rFonts w:ascii="Garamond" w:hAnsi="Garamond"/>
          <w:b/>
        </w:rPr>
        <w:br/>
      </w:r>
      <w:r>
        <w:rPr>
          <w:rFonts w:ascii="Garamond" w:eastAsia="MS Mincho" w:hAnsi="Garamond" w:cs="Times New Roman"/>
          <w:b/>
          <w:color w:val="000000"/>
          <w:kern w:val="28"/>
          <w:sz w:val="8"/>
          <w:szCs w:val="8"/>
          <w14:ligatures w14:val="standard"/>
          <w14:cntxtAlts/>
        </w:rPr>
        <w:br/>
      </w:r>
      <w:r w:rsidRPr="004C0FDE">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4584">
        <w:rPr>
          <w:rFonts w:ascii="Garamond" w:eastAsia="MS Mincho" w:hAnsi="Garamond"/>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w:t>
      </w:r>
      <w:r w:rsidR="004271A1">
        <w:rPr>
          <w:rFonts w:ascii="Garamond" w:eastAsia="MS Mincho" w:hAnsi="Garamond"/>
          <w:b/>
          <w:color w:val="000000"/>
          <w:kern w:val="28"/>
          <w:sz w:val="24"/>
          <w:szCs w:val="24"/>
          <w14:ligatures w14:val="standard"/>
          <w14:cntxtAlts/>
        </w:rPr>
        <w:t>_______________________________________________________________________________________________________</w:t>
      </w:r>
      <w:r w:rsidR="004271A1">
        <w:rPr>
          <w:rFonts w:ascii="Garamond" w:eastAsia="MS Mincho" w:hAnsi="Garamond"/>
          <w:b/>
          <w:color w:val="000000"/>
          <w:kern w:val="28"/>
          <w:sz w:val="24"/>
          <w:szCs w:val="24"/>
          <w14:ligatures w14:val="standard"/>
          <w14:cntxtAlts/>
        </w:rPr>
        <w:br/>
      </w:r>
      <w:r w:rsidR="004271A1">
        <w:rPr>
          <w:rFonts w:ascii="Garamond" w:eastAsia="MS Mincho" w:hAnsi="Garamond"/>
          <w:b/>
          <w:color w:val="000000"/>
          <w:kern w:val="28"/>
          <w:sz w:val="24"/>
          <w:szCs w:val="24"/>
          <w14:ligatures w14:val="standard"/>
          <w14:cntxtAlts/>
        </w:rPr>
        <w:br/>
      </w:r>
      <w:r w:rsidR="004271A1">
        <w:rPr>
          <w:rFonts w:ascii="Garamond" w:hAnsi="Garamond" w:cs="Times New Roman"/>
          <w:b/>
          <w:sz w:val="24"/>
          <w:szCs w:val="24"/>
        </w:rPr>
        <w:br/>
      </w:r>
      <w:r w:rsidR="004271A1">
        <w:rPr>
          <w:rFonts w:ascii="Garamond" w:hAnsi="Garamond" w:cs="Times New Roman"/>
          <w:b/>
          <w:sz w:val="24"/>
          <w:szCs w:val="24"/>
        </w:rPr>
        <w:t>XII. After the deliberation, my opinion changed/did not change because…My final thoughts include…</w:t>
      </w:r>
    </w:p>
    <w:p w:rsidR="001D03B0" w:rsidRPr="00BF4584" w:rsidRDefault="004271A1" w:rsidP="004271A1">
      <w:pPr>
        <w:pStyle w:val="NoSpacing"/>
        <w:rPr>
          <w:rFonts w:ascii="Garamond" w:hAnsi="Garamond"/>
          <w:sz w:val="24"/>
          <w:szCs w:val="24"/>
        </w:rPr>
      </w:pPr>
      <w:r w:rsidRPr="004C0FDE">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MS Mincho" w:hAnsi="Garamond"/>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D03B0" w:rsidRPr="00BF4584" w:rsidSect="00B626D6">
      <w:footerReference w:type="default" r:id="rId7"/>
      <w:headerReference w:type="first" r:id="rId8"/>
      <w:pgSz w:w="12240" w:h="15840"/>
      <w:pgMar w:top="720" w:right="450" w:bottom="180" w:left="63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13" w:rsidRDefault="00DB5313" w:rsidP="0078549D">
      <w:r>
        <w:separator/>
      </w:r>
    </w:p>
  </w:endnote>
  <w:endnote w:type="continuationSeparator" w:id="0">
    <w:p w:rsidR="00DB5313" w:rsidRDefault="00DB5313"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6678121"/>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rPr>
          <w:tab/>
        </w:r>
        <w:r w:rsidRPr="008A3806">
          <w:rPr>
            <w:rFonts w:ascii="Garamond" w:hAnsi="Garamond"/>
          </w:rPr>
          <w:tab/>
        </w:r>
        <w:r w:rsidR="000A183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7B1B71">
          <w:rPr>
            <w:rFonts w:ascii="Garamond" w:hAnsi="Garamond"/>
            <w:noProof/>
          </w:rPr>
          <w:t>4</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13" w:rsidRDefault="00DB5313" w:rsidP="0078549D">
      <w:r>
        <w:separator/>
      </w:r>
    </w:p>
  </w:footnote>
  <w:footnote w:type="continuationSeparator" w:id="0">
    <w:p w:rsidR="00DB5313" w:rsidRDefault="00DB5313"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B0" w:rsidRDefault="001D03B0" w:rsidP="001D03B0">
    <w:pPr>
      <w:pStyle w:val="Header"/>
      <w:ind w:left="1080" w:firstLine="3960"/>
      <w:jc w:val="right"/>
    </w:pPr>
    <w:r w:rsidRPr="001D03B0">
      <w:rPr>
        <w:rFonts w:ascii="Garamond" w:hAnsi="Garamond"/>
        <w:noProof/>
      </w:rPr>
      <mc:AlternateContent>
        <mc:Choice Requires="wps">
          <w:drawing>
            <wp:anchor distT="0" distB="0" distL="114300" distR="114300" simplePos="0" relativeHeight="251660288" behindDoc="0" locked="0" layoutInCell="1" allowOverlap="1" wp14:anchorId="745D568B" wp14:editId="3BCE0596">
              <wp:simplePos x="0" y="0"/>
              <wp:positionH relativeFrom="column">
                <wp:posOffset>-209550</wp:posOffset>
              </wp:positionH>
              <wp:positionV relativeFrom="paragraph">
                <wp:posOffset>-171450</wp:posOffset>
              </wp:positionV>
              <wp:extent cx="2695575"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3B0" w:rsidRDefault="001D03B0" w:rsidP="001D03B0">
                          <w:r>
                            <w:rPr>
                              <w:noProof/>
                            </w:rPr>
                            <w:drawing>
                              <wp:inline distT="0" distB="0" distL="0" distR="0" wp14:anchorId="35B08749" wp14:editId="5042D50F">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D568B" id="_x0000_t202" coordsize="21600,21600" o:spt="202" path="m,l,21600r21600,l21600,xe">
              <v:stroke joinstyle="miter"/>
              <v:path gradientshapeok="t" o:connecttype="rect"/>
            </v:shapetype>
            <v:shape id="Text Box 4" o:spid="_x0000_s1031" type="#_x0000_t202" style="position:absolute;left:0;text-align:left;margin-left:-16.5pt;margin-top:-13.5pt;width:212.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" filled="f" stroked="f" strokeweight=".5pt">
              <v:textbox>
                <w:txbxContent>
                  <w:p w:rsidR="001D03B0" w:rsidRDefault="001D03B0" w:rsidP="001D03B0">
                    <w:r>
                      <w:rPr>
                        <w:noProof/>
                      </w:rPr>
                      <w:drawing>
                        <wp:inline distT="0" distB="0" distL="0" distR="0" wp14:anchorId="35B08749" wp14:editId="5042D50F">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217FCA">
      <w:rPr>
        <w:rFonts w:ascii="Garamond" w:hAnsi="Garamond"/>
      </w:rPr>
      <w:t>NAME________________________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E63"/>
    <w:multiLevelType w:val="hybridMultilevel"/>
    <w:tmpl w:val="25906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7D41"/>
    <w:multiLevelType w:val="hybridMultilevel"/>
    <w:tmpl w:val="15EEAA6E"/>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46275"/>
    <w:multiLevelType w:val="hybridMultilevel"/>
    <w:tmpl w:val="EC564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2302C"/>
    <w:multiLevelType w:val="hybridMultilevel"/>
    <w:tmpl w:val="B7FEFF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95F2F"/>
    <w:multiLevelType w:val="hybridMultilevel"/>
    <w:tmpl w:val="9364F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E0896"/>
    <w:multiLevelType w:val="hybridMultilevel"/>
    <w:tmpl w:val="E7F65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9719F"/>
    <w:multiLevelType w:val="hybridMultilevel"/>
    <w:tmpl w:val="804C7430"/>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9"/>
  </w:num>
  <w:num w:numId="6">
    <w:abstractNumId w:val="7"/>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0"/>
  </w:num>
  <w:num w:numId="12">
    <w:abstractNumId w:val="0"/>
  </w:num>
  <w:num w:numId="13">
    <w:abstractNumId w:val="8"/>
  </w:num>
  <w:num w:numId="14">
    <w:abstractNumId w:val="1"/>
  </w:num>
  <w:num w:numId="15">
    <w:abstractNumId w:val="12"/>
  </w:num>
  <w:num w:numId="16">
    <w:abstractNumId w:val="1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B0"/>
    <w:rsid w:val="00064C0E"/>
    <w:rsid w:val="000A1830"/>
    <w:rsid w:val="000B1329"/>
    <w:rsid w:val="000D2B1F"/>
    <w:rsid w:val="000E239D"/>
    <w:rsid w:val="0011515B"/>
    <w:rsid w:val="0012211E"/>
    <w:rsid w:val="00161C2E"/>
    <w:rsid w:val="00170B98"/>
    <w:rsid w:val="001B58D1"/>
    <w:rsid w:val="001D03B0"/>
    <w:rsid w:val="001E266F"/>
    <w:rsid w:val="001F5412"/>
    <w:rsid w:val="00217FCA"/>
    <w:rsid w:val="00251481"/>
    <w:rsid w:val="00280422"/>
    <w:rsid w:val="00285899"/>
    <w:rsid w:val="00290061"/>
    <w:rsid w:val="002B4D38"/>
    <w:rsid w:val="002B5368"/>
    <w:rsid w:val="002C68A3"/>
    <w:rsid w:val="002F4CF3"/>
    <w:rsid w:val="00310F79"/>
    <w:rsid w:val="00317735"/>
    <w:rsid w:val="003512E4"/>
    <w:rsid w:val="00374A60"/>
    <w:rsid w:val="00375090"/>
    <w:rsid w:val="00381DE2"/>
    <w:rsid w:val="00387E81"/>
    <w:rsid w:val="00391FB3"/>
    <w:rsid w:val="00396AEB"/>
    <w:rsid w:val="003D0B51"/>
    <w:rsid w:val="003D464A"/>
    <w:rsid w:val="003E3E8B"/>
    <w:rsid w:val="003E5F37"/>
    <w:rsid w:val="003E6E15"/>
    <w:rsid w:val="004271A1"/>
    <w:rsid w:val="004357B9"/>
    <w:rsid w:val="00436FF5"/>
    <w:rsid w:val="00495D45"/>
    <w:rsid w:val="004A5AEB"/>
    <w:rsid w:val="004B560A"/>
    <w:rsid w:val="004E1153"/>
    <w:rsid w:val="0050181C"/>
    <w:rsid w:val="005311FB"/>
    <w:rsid w:val="00561577"/>
    <w:rsid w:val="00580CA9"/>
    <w:rsid w:val="005A0330"/>
    <w:rsid w:val="005A282D"/>
    <w:rsid w:val="006177A2"/>
    <w:rsid w:val="00660C41"/>
    <w:rsid w:val="007171C4"/>
    <w:rsid w:val="00764F42"/>
    <w:rsid w:val="0078549D"/>
    <w:rsid w:val="0079282E"/>
    <w:rsid w:val="007A3CBB"/>
    <w:rsid w:val="007B1B71"/>
    <w:rsid w:val="007C3126"/>
    <w:rsid w:val="007C7621"/>
    <w:rsid w:val="007F1B5A"/>
    <w:rsid w:val="007F700D"/>
    <w:rsid w:val="0081238F"/>
    <w:rsid w:val="00815CB0"/>
    <w:rsid w:val="0081706F"/>
    <w:rsid w:val="00891F9B"/>
    <w:rsid w:val="008C0DE3"/>
    <w:rsid w:val="008D661D"/>
    <w:rsid w:val="008F682E"/>
    <w:rsid w:val="00935C43"/>
    <w:rsid w:val="009448B1"/>
    <w:rsid w:val="009545DD"/>
    <w:rsid w:val="00961E7C"/>
    <w:rsid w:val="00965F6B"/>
    <w:rsid w:val="009D6B03"/>
    <w:rsid w:val="00A20F34"/>
    <w:rsid w:val="00AB0825"/>
    <w:rsid w:val="00AD55EB"/>
    <w:rsid w:val="00AD683F"/>
    <w:rsid w:val="00AE0C77"/>
    <w:rsid w:val="00B62487"/>
    <w:rsid w:val="00B626D6"/>
    <w:rsid w:val="00B90D97"/>
    <w:rsid w:val="00BE29C6"/>
    <w:rsid w:val="00BE4A01"/>
    <w:rsid w:val="00BF4584"/>
    <w:rsid w:val="00C11D2E"/>
    <w:rsid w:val="00C40F6D"/>
    <w:rsid w:val="00C530C1"/>
    <w:rsid w:val="00C87F99"/>
    <w:rsid w:val="00CB0AA8"/>
    <w:rsid w:val="00DB5313"/>
    <w:rsid w:val="00DE3D18"/>
    <w:rsid w:val="00DE4879"/>
    <w:rsid w:val="00E06D30"/>
    <w:rsid w:val="00E465DD"/>
    <w:rsid w:val="00E74BF3"/>
    <w:rsid w:val="00E925D9"/>
    <w:rsid w:val="00EB467C"/>
    <w:rsid w:val="00EC1AA9"/>
    <w:rsid w:val="00EC68C4"/>
    <w:rsid w:val="00EE5548"/>
    <w:rsid w:val="00EE7A9A"/>
    <w:rsid w:val="00F07CE3"/>
    <w:rsid w:val="00FC5BD8"/>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66457AB"/>
  <w15:docId w15:val="{7E90B022-DBE9-439A-974B-7B83E0C6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A6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1D03B0"/>
    <w:pPr>
      <w:spacing w:before="120" w:after="120"/>
      <w:jc w:val="center"/>
    </w:pPr>
    <w:rPr>
      <w:rFonts w:ascii="Gill Sans MT" w:hAnsi="Gill Sans MT"/>
      <w:b/>
      <w:sz w:val="32"/>
      <w:szCs w:val="32"/>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0A1830"/>
    <w:pPr>
      <w:spacing w:before="360" w:after="120"/>
    </w:pPr>
    <w:rPr>
      <w:rFonts w:ascii="Gill Sans MT" w:hAnsi="Gill Sans MT"/>
      <w:b/>
      <w:i/>
    </w:rPr>
  </w:style>
  <w:style w:type="character" w:customStyle="1" w:styleId="Subhead1slChar">
    <w:name w:val="Subhead 1_sl Char"/>
    <w:basedOn w:val="DefaultParagraphFont"/>
    <w:link w:val="Subhead1sl"/>
    <w:rsid w:val="001D03B0"/>
    <w:rPr>
      <w:rFonts w:ascii="Gill Sans MT" w:hAnsi="Gill Sans MT"/>
      <w:b/>
      <w:sz w:val="32"/>
      <w:szCs w:val="32"/>
    </w:rPr>
  </w:style>
  <w:style w:type="paragraph" w:customStyle="1" w:styleId="Basiccopysl">
    <w:name w:val="Basic copy_sl"/>
    <w:basedOn w:val="Normal"/>
    <w:link w:val="BasiccopyslChar"/>
    <w:qFormat/>
    <w:rsid w:val="00317735"/>
    <w:pPr>
      <w:spacing w:after="120"/>
    </w:pPr>
    <w:rPr>
      <w:rFonts w:ascii="Garamond" w:hAnsi="Garamond"/>
    </w:rPr>
  </w:style>
  <w:style w:type="character" w:customStyle="1" w:styleId="Subhead2slChar">
    <w:name w:val="Subhead 2_sl Char"/>
    <w:basedOn w:val="DefaultParagraphFont"/>
    <w:link w:val="Subhead2sl"/>
    <w:rsid w:val="000A183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rPr>
  </w:style>
  <w:style w:type="character" w:customStyle="1" w:styleId="BasiccopyslChar">
    <w:name w:val="Basic copy_sl Char"/>
    <w:basedOn w:val="DefaultParagraphFont"/>
    <w:link w:val="Basiccopysl"/>
    <w:rsid w:val="0031773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rFonts w:ascii="Garamond" w:hAnsi="Garamond"/>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styleId="ListParagraph">
    <w:name w:val="List Paragraph"/>
    <w:basedOn w:val="Normal"/>
    <w:uiPriority w:val="34"/>
    <w:qFormat/>
    <w:rsid w:val="001D03B0"/>
    <w:pPr>
      <w:ind w:left="720"/>
      <w:contextualSpacing/>
    </w:pPr>
  </w:style>
  <w:style w:type="paragraph" w:customStyle="1" w:styleId="Basiccopyindentedsl">
    <w:name w:val="Basic copy_indented_sl"/>
    <w:basedOn w:val="Basiccopysl"/>
    <w:qFormat/>
    <w:rsid w:val="000A1830"/>
    <w:pPr>
      <w:ind w:left="720"/>
    </w:pPr>
  </w:style>
  <w:style w:type="paragraph" w:customStyle="1" w:styleId="Basiccopycenteredsl">
    <w:name w:val="Basic copy_centered_sl"/>
    <w:basedOn w:val="Basiccopysl"/>
    <w:qFormat/>
    <w:rsid w:val="000A1830"/>
    <w:pPr>
      <w:jc w:val="center"/>
    </w:pPr>
    <w:rPr>
      <w:b/>
    </w:rPr>
  </w:style>
  <w:style w:type="character" w:customStyle="1" w:styleId="Heading2Char">
    <w:name w:val="Heading 2 Char"/>
    <w:basedOn w:val="DefaultParagraphFont"/>
    <w:link w:val="Heading2"/>
    <w:rsid w:val="00374A60"/>
    <w:rPr>
      <w:rFonts w:ascii="Times New Roman" w:eastAsia="Times New Roman" w:hAnsi="Times New Roman" w:cs="Times New Roman"/>
      <w:b/>
      <w:sz w:val="24"/>
      <w:szCs w:val="24"/>
    </w:rPr>
  </w:style>
  <w:style w:type="paragraph" w:styleId="NoSpacing">
    <w:name w:val="No Spacing"/>
    <w:uiPriority w:val="1"/>
    <w:qFormat/>
    <w:rsid w:val="00FF3939"/>
    <w:pPr>
      <w:spacing w:after="0" w:line="240" w:lineRule="auto"/>
    </w:pPr>
  </w:style>
  <w:style w:type="paragraph" w:styleId="NormalWeb">
    <w:name w:val="Normal (Web)"/>
    <w:basedOn w:val="Normal"/>
    <w:uiPriority w:val="99"/>
    <w:semiHidden/>
    <w:unhideWhenUsed/>
    <w:rsid w:val="00965F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4</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22</cp:revision>
  <cp:lastPrinted>2015-12-14T14:44:00Z</cp:lastPrinted>
  <dcterms:created xsi:type="dcterms:W3CDTF">2021-11-23T21:59:00Z</dcterms:created>
  <dcterms:modified xsi:type="dcterms:W3CDTF">2021-11-24T14:59:00Z</dcterms:modified>
</cp:coreProperties>
</file>